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E969A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25D476BA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62DB7CCF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194FF6BB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2BB91C22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777900AA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781B826D" w14:textId="77777777" w:rsidR="003742E7" w:rsidRPr="005B6068" w:rsidRDefault="003742E7" w:rsidP="003742E7">
      <w:pPr>
        <w:spacing w:after="200"/>
        <w:jc w:val="center"/>
        <w:rPr>
          <w:rFonts w:ascii="UniCredit" w:hAnsi="UniCredit" w:cs="Arial"/>
          <w:b/>
          <w:sz w:val="40"/>
          <w:szCs w:val="40"/>
          <w:lang w:val="hu-HU"/>
        </w:rPr>
      </w:pPr>
      <w:r w:rsidRPr="005B6068">
        <w:rPr>
          <w:rFonts w:ascii="UniCredit" w:hAnsi="UniCredit" w:cs="Arial"/>
          <w:b/>
          <w:sz w:val="40"/>
          <w:szCs w:val="40"/>
          <w:lang w:val="hu-HU"/>
        </w:rPr>
        <w:t xml:space="preserve">Az </w:t>
      </w:r>
    </w:p>
    <w:p w14:paraId="5267756D" w14:textId="77777777" w:rsidR="003742E7" w:rsidRPr="005B6068" w:rsidRDefault="003742E7" w:rsidP="003742E7">
      <w:pPr>
        <w:spacing w:after="200"/>
        <w:jc w:val="center"/>
        <w:rPr>
          <w:rFonts w:ascii="UniCredit" w:hAnsi="UniCredit" w:cs="Arial"/>
          <w:b/>
          <w:sz w:val="40"/>
          <w:szCs w:val="40"/>
          <w:lang w:val="hu-HU"/>
        </w:rPr>
      </w:pPr>
      <w:r w:rsidRPr="005B6068">
        <w:rPr>
          <w:rFonts w:ascii="UniCredit" w:hAnsi="UniCredit" w:cs="Arial"/>
          <w:b/>
          <w:sz w:val="40"/>
          <w:szCs w:val="40"/>
          <w:lang w:val="hu-HU"/>
        </w:rPr>
        <w:t xml:space="preserve">UNICREDIT BANK HUNGARY Zrt. </w:t>
      </w:r>
    </w:p>
    <w:p w14:paraId="6610AABD" w14:textId="02B950FC" w:rsidR="003742E7" w:rsidRPr="005B6068" w:rsidRDefault="00AF31E6" w:rsidP="003742E7">
      <w:pPr>
        <w:spacing w:after="200"/>
        <w:jc w:val="center"/>
        <w:rPr>
          <w:rFonts w:ascii="UniCredit" w:hAnsi="UniCredit" w:cs="Arial"/>
          <w:b/>
          <w:sz w:val="40"/>
          <w:szCs w:val="40"/>
          <w:lang w:val="hu-HU"/>
        </w:rPr>
      </w:pPr>
      <w:r w:rsidRPr="005B6068">
        <w:rPr>
          <w:rFonts w:ascii="UniCredit" w:hAnsi="UniCredit" w:cs="Arial"/>
          <w:b/>
          <w:sz w:val="40"/>
          <w:szCs w:val="40"/>
          <w:lang w:val="hu-HU"/>
        </w:rPr>
        <w:t>20</w:t>
      </w:r>
      <w:r>
        <w:rPr>
          <w:rFonts w:ascii="UniCredit" w:hAnsi="UniCredit" w:cs="Arial"/>
          <w:b/>
          <w:sz w:val="40"/>
          <w:szCs w:val="40"/>
          <w:lang w:val="hu-HU"/>
        </w:rPr>
        <w:t>20</w:t>
      </w:r>
      <w:r w:rsidR="003742E7" w:rsidRPr="005B6068">
        <w:rPr>
          <w:rFonts w:ascii="UniCredit" w:hAnsi="UniCredit" w:cs="Arial"/>
          <w:b/>
          <w:sz w:val="40"/>
          <w:szCs w:val="40"/>
          <w:lang w:val="hu-HU"/>
        </w:rPr>
        <w:t xml:space="preserve">. </w:t>
      </w:r>
      <w:r w:rsidR="007B1BE4">
        <w:rPr>
          <w:rFonts w:ascii="UniCredit" w:hAnsi="UniCredit" w:cs="Arial"/>
          <w:b/>
          <w:sz w:val="40"/>
          <w:szCs w:val="40"/>
          <w:lang w:val="hu-HU"/>
        </w:rPr>
        <w:t>első félévre</w:t>
      </w:r>
      <w:r w:rsidR="003742E7" w:rsidRPr="005B6068">
        <w:rPr>
          <w:rFonts w:ascii="UniCredit" w:hAnsi="UniCredit" w:cs="Arial"/>
          <w:b/>
          <w:sz w:val="40"/>
          <w:szCs w:val="40"/>
          <w:lang w:val="hu-HU"/>
        </w:rPr>
        <w:t xml:space="preserve"> vonatkozó</w:t>
      </w:r>
    </w:p>
    <w:p w14:paraId="28731431" w14:textId="77777777" w:rsidR="003742E7" w:rsidRPr="005B6068" w:rsidRDefault="008952A4" w:rsidP="003742E7">
      <w:pPr>
        <w:spacing w:after="200"/>
        <w:jc w:val="center"/>
        <w:rPr>
          <w:rFonts w:ascii="UniCredit" w:hAnsi="UniCredit" w:cs="Arial"/>
          <w:b/>
          <w:sz w:val="40"/>
          <w:szCs w:val="40"/>
          <w:lang w:val="hu-HU"/>
        </w:rPr>
      </w:pPr>
      <w:r w:rsidRPr="005B6068">
        <w:rPr>
          <w:rFonts w:ascii="UniCredit" w:hAnsi="UniCredit" w:cs="Arial"/>
          <w:b/>
          <w:sz w:val="40"/>
          <w:szCs w:val="40"/>
          <w:lang w:val="hu-HU"/>
        </w:rPr>
        <w:t xml:space="preserve">konszolidált </w:t>
      </w:r>
      <w:r w:rsidR="003742E7" w:rsidRPr="005B6068">
        <w:rPr>
          <w:rFonts w:ascii="UniCredit" w:hAnsi="UniCredit" w:cs="Arial"/>
          <w:b/>
          <w:sz w:val="40"/>
          <w:szCs w:val="40"/>
          <w:lang w:val="hu-HU"/>
        </w:rPr>
        <w:t>kockázati jelentése</w:t>
      </w:r>
    </w:p>
    <w:p w14:paraId="61DA551F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10005E61" w14:textId="77777777" w:rsidR="003742E7" w:rsidRPr="005B6068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  <w:lang w:val="hu-HU"/>
        </w:rPr>
      </w:pPr>
    </w:p>
    <w:p w14:paraId="79317A17" w14:textId="77777777" w:rsidR="003742E7" w:rsidRPr="005B6068" w:rsidRDefault="003742E7">
      <w:pPr>
        <w:spacing w:after="200"/>
        <w:jc w:val="center"/>
        <w:rPr>
          <w:rFonts w:ascii="UniCredit" w:hAnsi="UniCredit" w:cs="Arial"/>
          <w:sz w:val="24"/>
          <w:szCs w:val="32"/>
          <w:lang w:val="hu-HU"/>
        </w:rPr>
      </w:pPr>
      <w:r w:rsidRPr="005B6068">
        <w:rPr>
          <w:rFonts w:ascii="UniCredit" w:hAnsi="UniCredit" w:cs="Arial"/>
          <w:sz w:val="24"/>
          <w:szCs w:val="32"/>
          <w:lang w:val="hu-HU"/>
        </w:rPr>
        <w:t xml:space="preserve">Az Európai Parlament és a Tanács a hitelintézetekre és befektetési vállalkozásokra vonatkozó </w:t>
      </w:r>
      <w:proofErr w:type="spellStart"/>
      <w:r w:rsidRPr="005B6068">
        <w:rPr>
          <w:rFonts w:ascii="UniCredit" w:hAnsi="UniCredit" w:cs="Arial"/>
          <w:sz w:val="24"/>
          <w:szCs w:val="32"/>
          <w:lang w:val="hu-HU"/>
        </w:rPr>
        <w:t>prudenciális</w:t>
      </w:r>
      <w:proofErr w:type="spellEnd"/>
      <w:r w:rsidRPr="005B6068">
        <w:rPr>
          <w:rFonts w:ascii="UniCredit" w:hAnsi="UniCredit" w:cs="Arial"/>
          <w:sz w:val="24"/>
          <w:szCs w:val="32"/>
          <w:lang w:val="hu-HU"/>
        </w:rPr>
        <w:t xml:space="preserve"> követelményekről szóló 575/2013/EU rendeletének nyolcadik részében, és a Magyar Nemzeti Bank 13/2017. (XI.30) számú ajánlása a hitelintézetek és befektetési vállalkozások nyilvánosságra hozatali gyakorlatának specifikus követelményeiről leírt nyilvánosságra hozatali követelmények teljesítése</w:t>
      </w:r>
    </w:p>
    <w:p w14:paraId="7A25AFCD" w14:textId="77777777" w:rsidR="003742E7" w:rsidRPr="005B6068" w:rsidRDefault="003742E7" w:rsidP="003742E7">
      <w:pPr>
        <w:spacing w:after="200"/>
        <w:rPr>
          <w:rFonts w:ascii="UniCredit" w:hAnsi="UniCredit" w:cs="Arial"/>
          <w:lang w:val="hu-HU"/>
        </w:rPr>
      </w:pPr>
    </w:p>
    <w:p w14:paraId="12D63799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3F1FA041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3B53B5E1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15755188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50C58B3F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457BDC9C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3BCB15A7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</w:p>
    <w:p w14:paraId="790A7E5B" w14:textId="77777777" w:rsidR="003742E7" w:rsidRPr="005B6068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  <w:lang w:val="hu-HU"/>
        </w:rPr>
      </w:pPr>
      <w:r w:rsidRPr="005B6068">
        <w:rPr>
          <w:rFonts w:ascii="UniCredit" w:hAnsi="UniCredit" w:cs="Arial"/>
          <w:b/>
          <w:sz w:val="32"/>
          <w:szCs w:val="32"/>
          <w:lang w:val="hu-HU"/>
        </w:rPr>
        <w:t>A dokumentumban szereplő adatok</w:t>
      </w:r>
    </w:p>
    <w:p w14:paraId="229E6F55" w14:textId="1B77BB8F" w:rsidR="003742E7" w:rsidRPr="005B6068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  <w:lang w:val="hu-HU"/>
        </w:rPr>
        <w:sectPr w:rsidR="003742E7" w:rsidRPr="005B6068" w:rsidSect="00AC14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5B6068">
        <w:rPr>
          <w:rFonts w:ascii="UniCredit" w:hAnsi="UniCredit" w:cs="Arial"/>
          <w:b/>
          <w:sz w:val="32"/>
          <w:szCs w:val="32"/>
          <w:lang w:val="hu-HU"/>
        </w:rPr>
        <w:t xml:space="preserve">a </w:t>
      </w:r>
      <w:r w:rsidR="00AF31E6" w:rsidRPr="005B6068">
        <w:rPr>
          <w:rFonts w:ascii="UniCredit" w:hAnsi="UniCredit" w:cs="Arial"/>
          <w:b/>
          <w:sz w:val="32"/>
          <w:szCs w:val="32"/>
          <w:lang w:val="hu-HU"/>
        </w:rPr>
        <w:t>20</w:t>
      </w:r>
      <w:r w:rsidR="00AF31E6">
        <w:rPr>
          <w:rFonts w:ascii="UniCredit" w:hAnsi="UniCredit" w:cs="Arial"/>
          <w:b/>
          <w:sz w:val="32"/>
          <w:szCs w:val="32"/>
          <w:lang w:val="hu-HU"/>
        </w:rPr>
        <w:t>20</w:t>
      </w:r>
      <w:r w:rsidRPr="005B6068">
        <w:rPr>
          <w:rFonts w:ascii="UniCredit" w:hAnsi="UniCredit" w:cs="Arial"/>
          <w:b/>
          <w:sz w:val="32"/>
          <w:szCs w:val="32"/>
          <w:lang w:val="hu-HU"/>
        </w:rPr>
        <w:t>.</w:t>
      </w:r>
      <w:r w:rsidR="008952A4" w:rsidRPr="005B6068">
        <w:rPr>
          <w:rFonts w:ascii="UniCredit" w:hAnsi="UniCredit" w:cs="Arial"/>
          <w:b/>
          <w:sz w:val="32"/>
          <w:szCs w:val="32"/>
          <w:lang w:val="hu-HU"/>
        </w:rPr>
        <w:t xml:space="preserve"> </w:t>
      </w:r>
      <w:r w:rsidR="007B1BE4">
        <w:rPr>
          <w:rFonts w:ascii="UniCredit" w:hAnsi="UniCredit" w:cs="Arial"/>
          <w:b/>
          <w:sz w:val="32"/>
          <w:szCs w:val="32"/>
          <w:lang w:val="hu-HU"/>
        </w:rPr>
        <w:t>június</w:t>
      </w:r>
      <w:r w:rsidR="007B1BE4" w:rsidRPr="005B6068">
        <w:rPr>
          <w:rFonts w:ascii="UniCredit" w:hAnsi="UniCredit" w:cs="Arial"/>
          <w:b/>
          <w:sz w:val="32"/>
          <w:szCs w:val="32"/>
          <w:lang w:val="hu-HU"/>
        </w:rPr>
        <w:t xml:space="preserve"> </w:t>
      </w:r>
      <w:r w:rsidR="008952A4" w:rsidRPr="005B6068">
        <w:rPr>
          <w:rFonts w:ascii="UniCredit" w:hAnsi="UniCredit" w:cs="Arial"/>
          <w:b/>
          <w:sz w:val="32"/>
          <w:szCs w:val="32"/>
          <w:lang w:val="hu-HU"/>
        </w:rPr>
        <w:t>3</w:t>
      </w:r>
      <w:r w:rsidR="007B1BE4">
        <w:rPr>
          <w:rFonts w:ascii="UniCredit" w:hAnsi="UniCredit" w:cs="Arial"/>
          <w:b/>
          <w:sz w:val="32"/>
          <w:szCs w:val="32"/>
          <w:lang w:val="hu-HU"/>
        </w:rPr>
        <w:t>0</w:t>
      </w:r>
      <w:r w:rsidRPr="005B6068">
        <w:rPr>
          <w:rFonts w:ascii="UniCredit" w:hAnsi="UniCredit" w:cs="Arial"/>
          <w:b/>
          <w:sz w:val="32"/>
          <w:szCs w:val="32"/>
          <w:lang w:val="hu-HU"/>
        </w:rPr>
        <w:t>-i állapotot tükrözik.</w:t>
      </w:r>
    </w:p>
    <w:p w14:paraId="3321D68A" w14:textId="77777777" w:rsidR="003742E7" w:rsidRPr="005B6068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  <w:lang w:val="hu-HU"/>
        </w:rPr>
      </w:pPr>
    </w:p>
    <w:p w14:paraId="34302AA0" w14:textId="77777777" w:rsidR="003742E7" w:rsidRPr="005B6068" w:rsidRDefault="003742E7" w:rsidP="003742E7">
      <w:pPr>
        <w:spacing w:after="200"/>
        <w:rPr>
          <w:rFonts w:ascii="UniCredit" w:hAnsi="UniCredit" w:cs="Arial"/>
          <w:szCs w:val="20"/>
          <w:lang w:val="hu-HU"/>
        </w:rPr>
      </w:pPr>
      <w:r w:rsidRPr="005B6068">
        <w:rPr>
          <w:rFonts w:ascii="UniCredit" w:hAnsi="UniCredit" w:cs="Arial"/>
          <w:b/>
          <w:bCs/>
          <w:lang w:val="hu-HU"/>
        </w:rPr>
        <w:br w:type="page"/>
      </w:r>
      <w:r w:rsidRPr="005B6068">
        <w:rPr>
          <w:rFonts w:ascii="UniCredit" w:hAnsi="UniCredit" w:cs="Arial"/>
          <w:b/>
          <w:bCs/>
          <w:lang w:val="hu-HU"/>
        </w:rPr>
        <w:lastRenderedPageBreak/>
        <w:t>Vonatkozó jogszabályok és előírások:</w:t>
      </w:r>
    </w:p>
    <w:p w14:paraId="36E00255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 xml:space="preserve">Az Európai Parlament és a Tanács 575/2013/EU rendelete (2013. június 26.) a hitelintézetekre és befektetési vállalkozásokra vonatkozó </w:t>
      </w:r>
      <w:proofErr w:type="spellStart"/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prudenciális</w:t>
      </w:r>
      <w:proofErr w:type="spellEnd"/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 xml:space="preserve"> követelményekről (továbbiakban CRR)</w:t>
      </w:r>
    </w:p>
    <w:p w14:paraId="4AC65849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 xml:space="preserve">Az Európai Parlament és a Tanács 2013/36/EU irányelve a hitelintézetek tevékenységéhez való hozzáférésről és a hitelintézetek és befektetési vállalkozások </w:t>
      </w:r>
      <w:proofErr w:type="spellStart"/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prudenciális</w:t>
      </w:r>
      <w:proofErr w:type="spellEnd"/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 xml:space="preserve"> felügyeletéről, a 2002/87/EK irányelv módosításáról, a</w:t>
      </w:r>
      <w:r w:rsidRPr="005B6068" w:rsidDel="00067E45">
        <w:rPr>
          <w:rFonts w:ascii="UniCredit" w:hAnsi="UniCredit" w:cs="Arial"/>
          <w:color w:val="auto"/>
          <w:sz w:val="20"/>
          <w:szCs w:val="20"/>
          <w:lang w:val="hu-HU"/>
        </w:rPr>
        <w:t xml:space="preserve"> </w:t>
      </w: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(CRD IV) (magyar változat)</w:t>
      </w:r>
    </w:p>
    <w:p w14:paraId="3635C774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2013. évi CCXXXVII. törvény a hitelintézetekről és pénzügyi vállalkozásokról (Hpt.)</w:t>
      </w:r>
    </w:p>
    <w:p w14:paraId="48318C4D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 xml:space="preserve">2000. évi C. Törvény a számvitelről </w:t>
      </w:r>
    </w:p>
    <w:p w14:paraId="2FE033AD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A Magyar Nemzeti Bank 8/2017. (VIII. 8.) számú ajánlása a hitelintézetek és befektetési vállalkozások nyilvánosságra hozatali gyakorlatának általános követelményeiről</w:t>
      </w:r>
    </w:p>
    <w:p w14:paraId="472B352F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A Magyar Nemzeti Bank 9/2017. (VIII.8.) számú ajánlása a likviditási kockázattal összefüggő nyilvánosságra hozatali gyakorlatról</w:t>
      </w:r>
    </w:p>
    <w:p w14:paraId="5FA434E6" w14:textId="77777777" w:rsidR="003742E7" w:rsidRPr="005B6068" w:rsidRDefault="003742E7" w:rsidP="003742E7">
      <w:pPr>
        <w:pStyle w:val="Default"/>
        <w:numPr>
          <w:ilvl w:val="0"/>
          <w:numId w:val="1"/>
        </w:numPr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  <w:r w:rsidRPr="005B6068">
        <w:rPr>
          <w:rFonts w:ascii="UniCredit" w:hAnsi="UniCredit" w:cs="Arial"/>
          <w:color w:val="auto"/>
          <w:sz w:val="20"/>
          <w:szCs w:val="20"/>
          <w:lang w:val="hu-HU"/>
        </w:rPr>
        <w:t>A Magyar Nemzeti Bank 13/2017. (XI.30) számú ajánlása a hitelintézetek és befektetési vállalkozások nyilvánosságra hozatali gyakorlatának specifikus követelményeiről</w:t>
      </w:r>
    </w:p>
    <w:p w14:paraId="398E39D1" w14:textId="77777777" w:rsidR="003742E7" w:rsidRPr="005B6068" w:rsidRDefault="003742E7" w:rsidP="003742E7">
      <w:pPr>
        <w:pStyle w:val="Default"/>
        <w:spacing w:line="360" w:lineRule="auto"/>
        <w:ind w:left="360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204CCDBC" w14:textId="77777777" w:rsidR="003742E7" w:rsidRPr="005B6068" w:rsidRDefault="003742E7" w:rsidP="003742E7">
      <w:pPr>
        <w:rPr>
          <w:rFonts w:ascii="UniCredit" w:hAnsi="UniCredit" w:cs="Arial"/>
          <w:lang w:val="hu-HU"/>
        </w:rPr>
      </w:pPr>
    </w:p>
    <w:p w14:paraId="3D7D71B9" w14:textId="77777777" w:rsidR="002C46AA" w:rsidRPr="005B6068" w:rsidRDefault="002C46AA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080AA8A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31B2BED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470FAFD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6D599838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21319428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60D8718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0045EE9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2B9FD84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443F87DF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44C4476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CEB4387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88A51A8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2D6B7C0A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F825597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61A400D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817DD10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68853FB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70A7B42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82759DC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8AF2051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177A3A2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75CD6061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62F763F8" w14:textId="77777777" w:rsidR="00C74426" w:rsidRPr="005B6068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47C30F50" w14:textId="77777777" w:rsidR="001E5ACE" w:rsidRPr="005B6068" w:rsidRDefault="001E5ACE" w:rsidP="00C11B4C">
      <w:pPr>
        <w:rPr>
          <w:rFonts w:ascii="UniCredit" w:hAnsi="UniCredit"/>
          <w:b/>
          <w:bCs/>
          <w:sz w:val="23"/>
          <w:szCs w:val="23"/>
          <w:lang w:val="hu-HU"/>
        </w:rPr>
      </w:pPr>
    </w:p>
    <w:p w14:paraId="212F5152" w14:textId="77777777" w:rsidR="001E5ACE" w:rsidRPr="005B6068" w:rsidRDefault="001E5ACE" w:rsidP="00C11B4C">
      <w:pPr>
        <w:rPr>
          <w:rFonts w:ascii="UniCredit" w:hAnsi="UniCredit"/>
          <w:b/>
          <w:bCs/>
          <w:sz w:val="23"/>
          <w:szCs w:val="23"/>
          <w:lang w:val="hu-HU"/>
        </w:rPr>
      </w:pPr>
    </w:p>
    <w:sdt>
      <w:sdtPr>
        <w:rPr>
          <w:rFonts w:ascii="UniCredit" w:eastAsiaTheme="minorHAnsi" w:hAnsi="UniCredit" w:cstheme="minorBidi"/>
          <w:color w:val="auto"/>
          <w:sz w:val="20"/>
          <w:szCs w:val="22"/>
          <w:lang w:val="hu-HU"/>
        </w:rPr>
        <w:id w:val="-9468449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4F87CA" w14:textId="77777777" w:rsidR="002C46AA" w:rsidRPr="005B6068" w:rsidRDefault="002C46AA">
          <w:pPr>
            <w:pStyle w:val="TOCHeading"/>
            <w:rPr>
              <w:rFonts w:ascii="UniCredit" w:hAnsi="UniCredit"/>
              <w:b/>
              <w:color w:val="auto"/>
              <w:sz w:val="28"/>
              <w:lang w:val="hu-HU"/>
            </w:rPr>
          </w:pPr>
          <w:r w:rsidRPr="005B6068">
            <w:rPr>
              <w:rFonts w:ascii="UniCredit" w:hAnsi="UniCredit"/>
              <w:b/>
              <w:color w:val="auto"/>
              <w:sz w:val="28"/>
              <w:lang w:val="hu-HU"/>
            </w:rPr>
            <w:t>Tartalomjegyzék</w:t>
          </w:r>
        </w:p>
        <w:p w14:paraId="1919116C" w14:textId="77777777" w:rsidR="002C46AA" w:rsidRPr="005B6068" w:rsidRDefault="002C46AA" w:rsidP="002C46AA">
          <w:pPr>
            <w:rPr>
              <w:rFonts w:ascii="UniCredit" w:hAnsi="UniCredit"/>
              <w:lang w:val="hu-HU"/>
            </w:rPr>
          </w:pPr>
        </w:p>
        <w:p w14:paraId="71BE292F" w14:textId="77777777" w:rsidR="0029346F" w:rsidRDefault="002C46AA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r w:rsidRPr="00D52888">
            <w:rPr>
              <w:bCs/>
            </w:rPr>
            <w:fldChar w:fldCharType="begin"/>
          </w:r>
          <w:r w:rsidRPr="005B6068">
            <w:rPr>
              <w:bCs/>
            </w:rPr>
            <w:instrText xml:space="preserve"> TOC \o "1-3" \h \z \u </w:instrText>
          </w:r>
          <w:r w:rsidRPr="00D52888">
            <w:rPr>
              <w:bCs/>
            </w:rPr>
            <w:fldChar w:fldCharType="separate"/>
          </w:r>
          <w:hyperlink w:anchor="_Toc48209094" w:history="1">
            <w:r w:rsidR="0029346F" w:rsidRPr="00601C86">
              <w:rPr>
                <w:rStyle w:val="Hyperlink"/>
              </w:rPr>
              <w:t>1.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OV1 - A kockázattal súlyozott eszközök (RWA-k) áttekintése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_Toc48209094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4</w:t>
            </w:r>
            <w:r w:rsidR="0029346F">
              <w:rPr>
                <w:webHidden/>
              </w:rPr>
              <w:fldChar w:fldCharType="end"/>
            </w:r>
          </w:hyperlink>
        </w:p>
        <w:p w14:paraId="273EDED2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095" w:history="1">
            <w:r w:rsidR="0029346F" w:rsidRPr="00601C86">
              <w:rPr>
                <w:rStyle w:val="Hyperlink"/>
              </w:rPr>
              <w:t>2.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CR10 - Speciális hitelezési, illetve részvényjellegű kitettségek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_Toc48209095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6</w:t>
            </w:r>
            <w:r w:rsidR="0029346F">
              <w:rPr>
                <w:webHidden/>
              </w:rPr>
              <w:fldChar w:fldCharType="end"/>
            </w:r>
          </w:hyperlink>
        </w:p>
        <w:p w14:paraId="31F6E3C0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096" w:history="1">
            <w:r w:rsidR="0029346F" w:rsidRPr="00601C86">
              <w:rPr>
                <w:rStyle w:val="Hyperlink"/>
              </w:rPr>
              <w:t>3.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A likviditásfedezeti rátáról szóló mennyiségi információk a CRR 435. cikk (1) bekezdés f) pontja alapján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_Toc48209096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6</w:t>
            </w:r>
            <w:r w:rsidR="0029346F">
              <w:rPr>
                <w:webHidden/>
              </w:rPr>
              <w:fldChar w:fldCharType="end"/>
            </w:r>
          </w:hyperlink>
        </w:p>
        <w:p w14:paraId="678BFED6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097" w:history="1">
            <w:r w:rsidR="0029346F" w:rsidRPr="00601C86">
              <w:rPr>
                <w:rStyle w:val="Hyperlink"/>
              </w:rPr>
              <w:t>4.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CCR1 – A partnerkockázati kitettség elemzése módszerenként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_Toc48209097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8</w:t>
            </w:r>
            <w:r w:rsidR="0029346F">
              <w:rPr>
                <w:webHidden/>
              </w:rPr>
              <w:fldChar w:fldCharType="end"/>
            </w:r>
          </w:hyperlink>
        </w:p>
        <w:p w14:paraId="00BC3987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098" w:history="1">
            <w:r w:rsidR="0029346F" w:rsidRPr="00601C86">
              <w:rPr>
                <w:rStyle w:val="Hyperlink"/>
              </w:rPr>
              <w:t>5.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CCR5-A – A nettósítás és az intézmény által tartott biztosítékok hatása a kitettségértékekre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_Toc48209098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8</w:t>
            </w:r>
            <w:r w:rsidR="0029346F">
              <w:rPr>
                <w:webHidden/>
              </w:rPr>
              <w:fldChar w:fldCharType="end"/>
            </w:r>
          </w:hyperlink>
        </w:p>
        <w:p w14:paraId="4FF7A517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099" w:history="1">
            <w:r w:rsidR="0029346F" w:rsidRPr="00601C86">
              <w:rPr>
                <w:rStyle w:val="Hyperlink"/>
              </w:rPr>
              <w:t>6.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CCR5-B – A partnerkockázati kitettségek biztosítékainak összetétele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_Toc48209099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8</w:t>
            </w:r>
            <w:r w:rsidR="0029346F">
              <w:rPr>
                <w:webHidden/>
              </w:rPr>
              <w:fldChar w:fldCharType="end"/>
            </w:r>
          </w:hyperlink>
        </w:p>
        <w:p w14:paraId="6A855445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0" w:history="1">
            <w:r w:rsidR="0029346F" w:rsidRPr="00601C86">
              <w:rPr>
                <w:rStyle w:val="Hyperlink"/>
              </w:rPr>
              <w:t>7.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MR1 – Piaci kockázat a sztenderd módszer alapján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_Toc48209100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8</w:t>
            </w:r>
            <w:r w:rsidR="0029346F">
              <w:rPr>
                <w:webHidden/>
              </w:rPr>
              <w:fldChar w:fldCharType="end"/>
            </w:r>
          </w:hyperlink>
        </w:p>
        <w:p w14:paraId="17FEDC78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1" w:history="1">
            <w:r w:rsidR="0029346F" w:rsidRPr="00601C86">
              <w:rPr>
                <w:rStyle w:val="Hyperlink"/>
              </w:rPr>
              <w:t>8.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CCR2 - A kitettségérték mértéke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_Toc48209101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9</w:t>
            </w:r>
            <w:r w:rsidR="0029346F">
              <w:rPr>
                <w:webHidden/>
              </w:rPr>
              <w:fldChar w:fldCharType="end"/>
            </w:r>
          </w:hyperlink>
        </w:p>
        <w:p w14:paraId="275CB5AC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2" w:history="1">
            <w:r w:rsidR="0029346F" w:rsidRPr="00601C86">
              <w:rPr>
                <w:rStyle w:val="Hyperlink"/>
              </w:rPr>
              <w:t>9.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CCR3 – Sztenderd módszer – Partnerkockázati kitettségek szabályozási portfólió és kockázat szerint, millió Ft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_Toc48209102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9</w:t>
            </w:r>
            <w:r w:rsidR="0029346F">
              <w:rPr>
                <w:webHidden/>
              </w:rPr>
              <w:fldChar w:fldCharType="end"/>
            </w:r>
          </w:hyperlink>
        </w:p>
        <w:p w14:paraId="2AB2454D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3" w:history="1">
            <w:r w:rsidR="0029346F" w:rsidRPr="00601C86">
              <w:rPr>
                <w:rStyle w:val="Hyperlink"/>
              </w:rPr>
              <w:t>10.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CCR4 – IRB-módszer – Partnerkockázati kitettségek szabályozási portfólió és PD-sáv szerint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_Toc48209103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10</w:t>
            </w:r>
            <w:r w:rsidR="0029346F">
              <w:rPr>
                <w:webHidden/>
              </w:rPr>
              <w:fldChar w:fldCharType="end"/>
            </w:r>
          </w:hyperlink>
        </w:p>
        <w:p w14:paraId="14196F32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4" w:history="1">
            <w:r w:rsidR="0029346F" w:rsidRPr="00601C86">
              <w:rPr>
                <w:rStyle w:val="Hyperlink"/>
              </w:rPr>
              <w:t>11.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CCR8 - Központi szerződő felekkel szembeni kitettségek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_Toc48209104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11</w:t>
            </w:r>
            <w:r w:rsidR="0029346F">
              <w:rPr>
                <w:webHidden/>
              </w:rPr>
              <w:fldChar w:fldCharType="end"/>
            </w:r>
          </w:hyperlink>
        </w:p>
        <w:p w14:paraId="2ECB8AEF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5" w:history="1">
            <w:r w:rsidR="0029346F" w:rsidRPr="00601C86">
              <w:rPr>
                <w:rStyle w:val="Hyperlink"/>
              </w:rPr>
              <w:t>12.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CCR6 – Hitelderivatíva-kitettségek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_Toc48209105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11</w:t>
            </w:r>
            <w:r w:rsidR="0029346F">
              <w:rPr>
                <w:webHidden/>
              </w:rPr>
              <w:fldChar w:fldCharType="end"/>
            </w:r>
          </w:hyperlink>
        </w:p>
        <w:p w14:paraId="519DCE63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6" w:history="1">
            <w:r w:rsidR="0029346F" w:rsidRPr="00601C86">
              <w:rPr>
                <w:rStyle w:val="Hyperlink"/>
              </w:rPr>
              <w:t>13.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CCR7 – A belső modell módszer (IMM) alá tartozó partnerkockázati kitettségekhez kapcsolódó RWA-k változásainak bemutatása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_Toc48209106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11</w:t>
            </w:r>
            <w:r w:rsidR="0029346F">
              <w:rPr>
                <w:webHidden/>
              </w:rPr>
              <w:fldChar w:fldCharType="end"/>
            </w:r>
          </w:hyperlink>
        </w:p>
        <w:p w14:paraId="2E038475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7" w:history="1">
            <w:r w:rsidR="0029346F" w:rsidRPr="00601C86">
              <w:rPr>
                <w:rStyle w:val="Hyperlink"/>
              </w:rPr>
              <w:t>14.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CR1-A – A kitettségek hitelminősége kitettségi osztályok és instrumentumok szerinti bontásban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_Toc48209107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12</w:t>
            </w:r>
            <w:r w:rsidR="0029346F">
              <w:rPr>
                <w:webHidden/>
              </w:rPr>
              <w:fldChar w:fldCharType="end"/>
            </w:r>
          </w:hyperlink>
        </w:p>
        <w:p w14:paraId="57FD43D6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8" w:history="1">
            <w:r w:rsidR="0029346F" w:rsidRPr="00601C86">
              <w:rPr>
                <w:rStyle w:val="Hyperlink"/>
              </w:rPr>
              <w:t>15.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CR1-B Kitettségek gazdasági ágazatok szerinti bontásban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_Toc48209108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12</w:t>
            </w:r>
            <w:r w:rsidR="0029346F">
              <w:rPr>
                <w:webHidden/>
              </w:rPr>
              <w:fldChar w:fldCharType="end"/>
            </w:r>
          </w:hyperlink>
        </w:p>
        <w:p w14:paraId="2A203F96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09" w:history="1">
            <w:r w:rsidR="0029346F" w:rsidRPr="00601C86">
              <w:rPr>
                <w:rStyle w:val="Hyperlink"/>
              </w:rPr>
              <w:t>16.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CR1-C – A kitettségek hitelminősége földrajzi bontásban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_Toc48209109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13</w:t>
            </w:r>
            <w:r w:rsidR="0029346F">
              <w:rPr>
                <w:webHidden/>
              </w:rPr>
              <w:fldChar w:fldCharType="end"/>
            </w:r>
          </w:hyperlink>
        </w:p>
        <w:p w14:paraId="323424FA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0" w:history="1">
            <w:r w:rsidR="0029346F" w:rsidRPr="00601C86">
              <w:rPr>
                <w:rStyle w:val="Hyperlink"/>
              </w:rPr>
              <w:t>17.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- CR1D - A késedelmi kitettségek korosodása (millió forintban)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_Toc48209110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13</w:t>
            </w:r>
            <w:r w:rsidR="0029346F">
              <w:rPr>
                <w:webHidden/>
              </w:rPr>
              <w:fldChar w:fldCharType="end"/>
            </w:r>
          </w:hyperlink>
        </w:p>
        <w:p w14:paraId="157B493D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1" w:history="1">
            <w:r w:rsidR="0029346F" w:rsidRPr="00601C86">
              <w:rPr>
                <w:rStyle w:val="Hyperlink"/>
              </w:rPr>
              <w:t>18.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CR1-E – Nemteljesítő (non-performing) és átstrukturált kitettségek (millió forintban)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_Toc48209111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13</w:t>
            </w:r>
            <w:r w:rsidR="0029346F">
              <w:rPr>
                <w:webHidden/>
              </w:rPr>
              <w:fldChar w:fldCharType="end"/>
            </w:r>
          </w:hyperlink>
        </w:p>
        <w:p w14:paraId="35B56867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2" w:history="1">
            <w:r w:rsidR="0029346F" w:rsidRPr="00601C86">
              <w:rPr>
                <w:rStyle w:val="Hyperlink"/>
              </w:rPr>
              <w:t>19.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CR2-A –Az általános és egyedi hitelkockázati kiigazítások állományának változásai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_Toc48209112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14</w:t>
            </w:r>
            <w:r w:rsidR="0029346F">
              <w:rPr>
                <w:webHidden/>
              </w:rPr>
              <w:fldChar w:fldCharType="end"/>
            </w:r>
          </w:hyperlink>
        </w:p>
        <w:p w14:paraId="0B72F696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3" w:history="1">
            <w:r w:rsidR="0029346F" w:rsidRPr="00601C86">
              <w:rPr>
                <w:rStyle w:val="Hyperlink"/>
              </w:rPr>
              <w:t>20.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CR2-B – A nemteljesítő (defaulted) és értékvesztett hitelek és hitelviszonyt megtestesítő értékpapírok állományának változásai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_Toc48209113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14</w:t>
            </w:r>
            <w:r w:rsidR="0029346F">
              <w:rPr>
                <w:webHidden/>
              </w:rPr>
              <w:fldChar w:fldCharType="end"/>
            </w:r>
          </w:hyperlink>
        </w:p>
        <w:p w14:paraId="546A90B0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4" w:history="1">
            <w:r w:rsidR="0029346F" w:rsidRPr="00601C86">
              <w:rPr>
                <w:rStyle w:val="Hyperlink"/>
              </w:rPr>
              <w:t>21.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CR3 - A garanciák vagy hitelderivatívák által fedezett teljes kitettség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_Toc48209114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15</w:t>
            </w:r>
            <w:r w:rsidR="0029346F">
              <w:rPr>
                <w:webHidden/>
              </w:rPr>
              <w:fldChar w:fldCharType="end"/>
            </w:r>
          </w:hyperlink>
        </w:p>
        <w:p w14:paraId="173D929F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5" w:history="1">
            <w:r w:rsidR="0029346F" w:rsidRPr="00601C86">
              <w:rPr>
                <w:rStyle w:val="Hyperlink"/>
              </w:rPr>
              <w:t>22.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CR4 – Sztenderd módszer – Hitelkockázati kitettség és a hitelkockázat-mérséklés hatásai (millió forintban)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_Toc48209115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15</w:t>
            </w:r>
            <w:r w:rsidR="0029346F">
              <w:rPr>
                <w:webHidden/>
              </w:rPr>
              <w:fldChar w:fldCharType="end"/>
            </w:r>
          </w:hyperlink>
        </w:p>
        <w:p w14:paraId="302E99B5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6" w:history="1">
            <w:r w:rsidR="0029346F" w:rsidRPr="00601C86">
              <w:rPr>
                <w:rStyle w:val="Hyperlink"/>
              </w:rPr>
              <w:t>23.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CR5 – Sztenderd módszer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_Toc48209116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15</w:t>
            </w:r>
            <w:r w:rsidR="0029346F">
              <w:rPr>
                <w:webHidden/>
              </w:rPr>
              <w:fldChar w:fldCharType="end"/>
            </w:r>
          </w:hyperlink>
        </w:p>
        <w:p w14:paraId="06CB7439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7" w:history="1">
            <w:r w:rsidR="0029346F" w:rsidRPr="00601C86">
              <w:rPr>
                <w:rStyle w:val="Hyperlink"/>
              </w:rPr>
              <w:t>24.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CR6 – IRB-módszer – Hitelkockázati kitettségek kitettségi osztályok és PD-sávok szerint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_Toc48209117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16</w:t>
            </w:r>
            <w:r w:rsidR="0029346F">
              <w:rPr>
                <w:webHidden/>
              </w:rPr>
              <w:fldChar w:fldCharType="end"/>
            </w:r>
          </w:hyperlink>
        </w:p>
        <w:p w14:paraId="46365C6A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8" w:history="1">
            <w:r w:rsidR="0029346F" w:rsidRPr="00601C86">
              <w:rPr>
                <w:rStyle w:val="Hyperlink"/>
              </w:rPr>
              <w:t>25.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CR7 – IRB-módszer – A CRM-technikaként alkalmazott hitelderivatívák RWA-kra gyakorolt hatása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_Toc48209118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16</w:t>
            </w:r>
            <w:r w:rsidR="0029346F">
              <w:rPr>
                <w:webHidden/>
              </w:rPr>
              <w:fldChar w:fldCharType="end"/>
            </w:r>
          </w:hyperlink>
        </w:p>
        <w:p w14:paraId="2E8420B5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19" w:history="1">
            <w:r w:rsidR="0029346F" w:rsidRPr="00601C86">
              <w:rPr>
                <w:rStyle w:val="Hyperlink"/>
              </w:rPr>
              <w:t>26.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EU CR8 - Az RWA-k változásai az IRB-módszer hatálya alá tartozó hitelkockázati kitettségek esetében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_Toc48209119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17</w:t>
            </w:r>
            <w:r w:rsidR="0029346F">
              <w:rPr>
                <w:webHidden/>
              </w:rPr>
              <w:fldChar w:fldCharType="end"/>
            </w:r>
          </w:hyperlink>
        </w:p>
        <w:p w14:paraId="1DE77D33" w14:textId="77777777" w:rsidR="0029346F" w:rsidRDefault="000C2A10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48209120" w:history="1">
            <w:r w:rsidR="0029346F" w:rsidRPr="00601C86">
              <w:rPr>
                <w:rStyle w:val="Hyperlink"/>
              </w:rPr>
              <w:t>27.</w:t>
            </w:r>
            <w:r w:rsidR="0029346F">
              <w:rPr>
                <w:rFonts w:asciiTheme="minorHAnsi" w:eastAsiaTheme="minorEastAsia" w:hAnsiTheme="minorHAnsi"/>
                <w:b w:val="0"/>
                <w:sz w:val="22"/>
                <w:lang w:val="en-US"/>
              </w:rPr>
              <w:tab/>
            </w:r>
            <w:r w:rsidR="0029346F" w:rsidRPr="00601C86">
              <w:rPr>
                <w:rStyle w:val="Hyperlink"/>
              </w:rPr>
              <w:t>A COVID-19 válságra válaszul alkalmazott intézkedések hatálya alá tartozó kitettségekre vonatkozó nyilvánosságra hozatal</w:t>
            </w:r>
            <w:r w:rsidR="0029346F">
              <w:rPr>
                <w:webHidden/>
              </w:rPr>
              <w:tab/>
            </w:r>
            <w:r w:rsidR="0029346F">
              <w:rPr>
                <w:webHidden/>
              </w:rPr>
              <w:fldChar w:fldCharType="begin"/>
            </w:r>
            <w:r w:rsidR="0029346F">
              <w:rPr>
                <w:webHidden/>
              </w:rPr>
              <w:instrText xml:space="preserve"> PAGEREF _Toc48209120 \h </w:instrText>
            </w:r>
            <w:r w:rsidR="0029346F">
              <w:rPr>
                <w:webHidden/>
              </w:rPr>
            </w:r>
            <w:r w:rsidR="0029346F">
              <w:rPr>
                <w:webHidden/>
              </w:rPr>
              <w:fldChar w:fldCharType="separate"/>
            </w:r>
            <w:r w:rsidR="0029346F">
              <w:rPr>
                <w:webHidden/>
              </w:rPr>
              <w:t>17</w:t>
            </w:r>
            <w:r w:rsidR="0029346F">
              <w:rPr>
                <w:webHidden/>
              </w:rPr>
              <w:fldChar w:fldCharType="end"/>
            </w:r>
          </w:hyperlink>
        </w:p>
        <w:p w14:paraId="0D6A4C8F" w14:textId="77777777" w:rsidR="002C46AA" w:rsidRPr="005B6068" w:rsidRDefault="002C46AA">
          <w:pPr>
            <w:rPr>
              <w:rFonts w:ascii="UniCredit" w:hAnsi="UniCredit"/>
              <w:lang w:val="hu-HU"/>
            </w:rPr>
          </w:pPr>
          <w:r w:rsidRPr="00D52888">
            <w:rPr>
              <w:rFonts w:ascii="UniCredit" w:hAnsi="UniCredit"/>
              <w:b/>
              <w:bCs/>
              <w:noProof/>
              <w:lang w:val="hu-HU"/>
            </w:rPr>
            <w:fldChar w:fldCharType="end"/>
          </w:r>
        </w:p>
      </w:sdtContent>
    </w:sdt>
    <w:p w14:paraId="4207C033" w14:textId="77777777" w:rsidR="001E5ACE" w:rsidRPr="005B6068" w:rsidRDefault="001E5ACE" w:rsidP="00C11B4C">
      <w:pPr>
        <w:rPr>
          <w:rFonts w:ascii="UniCredit" w:hAnsi="UniCredit"/>
          <w:b/>
          <w:bCs/>
          <w:sz w:val="23"/>
          <w:szCs w:val="23"/>
          <w:lang w:val="hu-HU"/>
        </w:rPr>
      </w:pPr>
    </w:p>
    <w:p w14:paraId="3E652B7C" w14:textId="77777777" w:rsidR="003742E7" w:rsidRPr="005B6068" w:rsidRDefault="003742E7" w:rsidP="00C11B4C">
      <w:pPr>
        <w:rPr>
          <w:rFonts w:ascii="UniCredit" w:hAnsi="UniCredit"/>
          <w:b/>
          <w:bCs/>
          <w:sz w:val="23"/>
          <w:szCs w:val="23"/>
          <w:lang w:val="hu-HU"/>
        </w:rPr>
      </w:pPr>
    </w:p>
    <w:p w14:paraId="4A420E69" w14:textId="77777777" w:rsidR="00A26F25" w:rsidRPr="005B6068" w:rsidRDefault="00A26F25" w:rsidP="00C11B4C">
      <w:pPr>
        <w:rPr>
          <w:rFonts w:ascii="UniCredit" w:hAnsi="UniCredit"/>
          <w:b/>
          <w:bCs/>
          <w:sz w:val="23"/>
          <w:szCs w:val="23"/>
          <w:lang w:val="hu-HU"/>
        </w:rPr>
      </w:pPr>
    </w:p>
    <w:p w14:paraId="632FAE3B" w14:textId="77777777" w:rsidR="00A26F25" w:rsidRPr="00D52888" w:rsidRDefault="00A26F25">
      <w:pPr>
        <w:rPr>
          <w:rFonts w:ascii="UniCredit" w:hAnsi="UniCredit"/>
          <w:sz w:val="23"/>
          <w:szCs w:val="23"/>
          <w:lang w:val="hu-HU"/>
        </w:rPr>
      </w:pPr>
    </w:p>
    <w:p w14:paraId="373BF057" w14:textId="77777777" w:rsidR="00A26F25" w:rsidRPr="00D52888" w:rsidRDefault="00A26F25">
      <w:pPr>
        <w:rPr>
          <w:rFonts w:ascii="UniCredit" w:hAnsi="UniCredit"/>
          <w:sz w:val="23"/>
          <w:szCs w:val="23"/>
          <w:lang w:val="hu-HU"/>
        </w:rPr>
      </w:pPr>
    </w:p>
    <w:p w14:paraId="11800A75" w14:textId="77777777" w:rsidR="00A26F25" w:rsidRPr="00D52888" w:rsidRDefault="00A26F25">
      <w:pPr>
        <w:rPr>
          <w:rFonts w:ascii="UniCredit" w:hAnsi="UniCredit"/>
          <w:sz w:val="23"/>
          <w:szCs w:val="23"/>
          <w:lang w:val="hu-HU"/>
        </w:rPr>
      </w:pPr>
    </w:p>
    <w:p w14:paraId="781DDD9A" w14:textId="77777777" w:rsidR="00A26F25" w:rsidRPr="005B6068" w:rsidRDefault="00A26F25" w:rsidP="00D52888">
      <w:pPr>
        <w:tabs>
          <w:tab w:val="left" w:pos="6634"/>
        </w:tabs>
        <w:rPr>
          <w:rFonts w:ascii="UniCredit" w:hAnsi="UniCredit"/>
          <w:sz w:val="23"/>
          <w:szCs w:val="23"/>
          <w:lang w:val="hu-HU"/>
        </w:rPr>
      </w:pPr>
      <w:r w:rsidRPr="005B6068">
        <w:rPr>
          <w:rFonts w:ascii="UniCredit" w:hAnsi="UniCredit"/>
          <w:sz w:val="23"/>
          <w:szCs w:val="23"/>
          <w:lang w:val="hu-HU"/>
        </w:rPr>
        <w:tab/>
      </w:r>
    </w:p>
    <w:p w14:paraId="2CCB5881" w14:textId="77777777" w:rsidR="00A26F25" w:rsidRPr="005B6068" w:rsidRDefault="00A26F25" w:rsidP="00A26F25">
      <w:pPr>
        <w:rPr>
          <w:rFonts w:ascii="UniCredit" w:hAnsi="UniCredit"/>
          <w:sz w:val="23"/>
          <w:szCs w:val="23"/>
          <w:lang w:val="hu-HU"/>
        </w:rPr>
      </w:pPr>
    </w:p>
    <w:p w14:paraId="100F1493" w14:textId="77777777" w:rsidR="00BB7E95" w:rsidRPr="00D52888" w:rsidRDefault="00BB7E95">
      <w:pPr>
        <w:rPr>
          <w:rFonts w:ascii="UniCredit" w:hAnsi="UniCredit"/>
          <w:sz w:val="23"/>
          <w:szCs w:val="23"/>
          <w:lang w:val="hu-HU"/>
        </w:rPr>
        <w:sectPr w:rsidR="00BB7E95" w:rsidRPr="00D52888" w:rsidSect="00AC1478">
          <w:headerReference w:type="default" r:id="rId14"/>
          <w:footerReference w:type="default" r:id="rId15"/>
          <w:type w:val="continuous"/>
          <w:pgSz w:w="11907" w:h="16840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D94F85C" w14:textId="77777777" w:rsidR="00002BE0" w:rsidRPr="00D52888" w:rsidRDefault="00A313F4" w:rsidP="00002BE0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0" w:name="_Toc48209094"/>
      <w:r w:rsidRPr="00D52888">
        <w:rPr>
          <w:rFonts w:ascii="UniCredit" w:hAnsi="UniCredit"/>
          <w:b/>
          <w:sz w:val="20"/>
          <w:szCs w:val="20"/>
          <w:lang w:val="hu-HU"/>
        </w:rPr>
        <w:lastRenderedPageBreak/>
        <w:t>EU OV1</w:t>
      </w:r>
      <w:r>
        <w:rPr>
          <w:rFonts w:ascii="UniCredit" w:hAnsi="UniCredit"/>
          <w:b/>
          <w:sz w:val="20"/>
          <w:szCs w:val="20"/>
          <w:lang w:val="hu-HU"/>
        </w:rPr>
        <w:t xml:space="preserve"> - </w:t>
      </w:r>
      <w:r w:rsidR="00002BE0" w:rsidRPr="00D52888">
        <w:rPr>
          <w:rFonts w:ascii="UniCredit" w:hAnsi="UniCredit"/>
          <w:b/>
          <w:sz w:val="20"/>
          <w:szCs w:val="20"/>
          <w:lang w:val="hu-HU"/>
        </w:rPr>
        <w:t>A kockázattal súlyozott eszközök (RWA-k) áttekintése</w:t>
      </w:r>
      <w:bookmarkEnd w:id="0"/>
    </w:p>
    <w:p w14:paraId="4708BAA9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</w:pPr>
    </w:p>
    <w:p w14:paraId="34EDCC0C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</w:pPr>
    </w:p>
    <w:tbl>
      <w:tblPr>
        <w:tblW w:w="12474" w:type="dxa"/>
        <w:tblLook w:val="04A0" w:firstRow="1" w:lastRow="0" w:firstColumn="1" w:lastColumn="0" w:noHBand="0" w:noVBand="1"/>
      </w:tblPr>
      <w:tblGrid>
        <w:gridCol w:w="2127"/>
        <w:gridCol w:w="567"/>
        <w:gridCol w:w="3969"/>
        <w:gridCol w:w="1984"/>
        <w:gridCol w:w="1559"/>
        <w:gridCol w:w="2268"/>
      </w:tblGrid>
      <w:tr w:rsidR="00BB7E95" w:rsidRPr="005B6068" w14:paraId="51BA3968" w14:textId="77777777" w:rsidTr="00D52888">
        <w:trPr>
          <w:trHeight w:val="5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BC5B" w14:textId="77777777" w:rsidR="00BB7E95" w:rsidRPr="00D52888" w:rsidRDefault="00BB7E95" w:rsidP="00BB7E95">
            <w:pPr>
              <w:rPr>
                <w:rFonts w:ascii="UniCredit" w:eastAsia="Times New Roman" w:hAnsi="UniCredit" w:cs="Times New Roman"/>
                <w:szCs w:val="20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BA49" w14:textId="77777777" w:rsidR="00BB7E95" w:rsidRPr="00D52888" w:rsidRDefault="00BB7E95" w:rsidP="00BB7E95">
            <w:pPr>
              <w:rPr>
                <w:rFonts w:ascii="UniCredit" w:eastAsia="Times New Roman" w:hAnsi="UniCredit" w:cs="Times New Roman"/>
                <w:szCs w:val="20"/>
                <w:lang w:val="hu-H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6A72" w14:textId="77777777" w:rsidR="00BB7E95" w:rsidRPr="00D52888" w:rsidRDefault="00BB7E95" w:rsidP="00BB7E95">
            <w:pPr>
              <w:rPr>
                <w:rFonts w:ascii="UniCredit" w:eastAsia="Times New Roman" w:hAnsi="UniCredit" w:cs="Times New Roman"/>
                <w:szCs w:val="20"/>
                <w:lang w:val="hu-HU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E6EDC" w14:textId="77777777" w:rsidR="00BB7E95" w:rsidRPr="00D52888" w:rsidRDefault="00BB7E95" w:rsidP="00BB7E95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>Kockázattal súlyozott eszközök (millió HUF)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FA06D" w14:textId="77777777" w:rsidR="00BB7E95" w:rsidRPr="00D52888" w:rsidRDefault="00BB7E95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 xml:space="preserve"> Minimum tőkekövetelmények (millió HUF)</w:t>
            </w:r>
          </w:p>
        </w:tc>
      </w:tr>
      <w:tr w:rsidR="00BB7E95" w:rsidRPr="005B6068" w14:paraId="63E95559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3361" w14:textId="77777777" w:rsidR="00BB7E95" w:rsidRPr="00D52888" w:rsidRDefault="00BB7E95" w:rsidP="00BB7E95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FFF4" w14:textId="77777777" w:rsidR="00BB7E95" w:rsidRPr="00D52888" w:rsidRDefault="00BB7E95" w:rsidP="00BB7E95">
            <w:pPr>
              <w:rPr>
                <w:rFonts w:ascii="UniCredit" w:eastAsia="Times New Roman" w:hAnsi="UniCredit" w:cs="Times New Roman"/>
                <w:szCs w:val="20"/>
                <w:lang w:val="hu-H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2D3F" w14:textId="77777777" w:rsidR="00BB7E95" w:rsidRPr="00D52888" w:rsidRDefault="00BB7E95" w:rsidP="00BB7E95">
            <w:pPr>
              <w:rPr>
                <w:rFonts w:ascii="UniCredit" w:eastAsia="Times New Roman" w:hAnsi="UniCredit" w:cs="Times New Roman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C285" w14:textId="77777777" w:rsidR="00BB7E95" w:rsidRPr="00D52888" w:rsidRDefault="00BB7E95" w:rsidP="00BB7E95">
            <w:pPr>
              <w:jc w:val="center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533E" w14:textId="77777777" w:rsidR="00BB7E95" w:rsidRPr="00D52888" w:rsidRDefault="00BB7E95" w:rsidP="00BB7E95">
            <w:pPr>
              <w:jc w:val="center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T-1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D2CB8" w14:textId="77777777" w:rsidR="00BB7E95" w:rsidRPr="00D52888" w:rsidRDefault="00BB7E95" w:rsidP="00BB7E95">
            <w:pPr>
              <w:jc w:val="center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 xml:space="preserve"> T </w:t>
            </w:r>
          </w:p>
        </w:tc>
      </w:tr>
      <w:tr w:rsidR="00390E69" w:rsidRPr="005B6068" w14:paraId="52B01F01" w14:textId="77777777" w:rsidTr="00D52888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C349E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B397B" w14:textId="77777777" w:rsidR="00390E69" w:rsidRPr="00D52888" w:rsidRDefault="00390E69" w:rsidP="00390E69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92AB4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>Hitelkockázat (a partnerkockázaton kívül)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82185" w14:textId="5846C78D" w:rsidR="00390E69" w:rsidRDefault="00390E69" w:rsidP="00390E69">
            <w:pPr>
              <w:rPr>
                <w:rFonts w:ascii="Arial" w:hAnsi="Arial" w:cs="Arial"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1.251.968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AB4E5" w14:textId="0A26D0FF" w:rsidR="00390E69" w:rsidRDefault="00390E69" w:rsidP="00390E69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1.383.175  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9D44" w14:textId="5E7D37DD" w:rsidR="00390E69" w:rsidRDefault="00390E69" w:rsidP="00390E69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100.157    </w:t>
            </w:r>
          </w:p>
        </w:tc>
      </w:tr>
      <w:tr w:rsidR="00390E69" w:rsidRPr="005B6068" w14:paraId="6094563E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25961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CD47" w14:textId="77777777" w:rsidR="00390E69" w:rsidRPr="00D52888" w:rsidRDefault="00390E69" w:rsidP="00390E69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F2457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sztenderd 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1E7B6" w14:textId="1B4E7D40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573.747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2FD3F" w14:textId="6B90656A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671.498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2258" w14:textId="26D22E12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45.900    </w:t>
            </w:r>
          </w:p>
        </w:tc>
      </w:tr>
      <w:tr w:rsidR="00390E69" w:rsidRPr="005B6068" w14:paraId="0D53FB4F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D8548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EDF31" w14:textId="77777777" w:rsidR="00390E69" w:rsidRPr="00D52888" w:rsidRDefault="00390E69" w:rsidP="00390E69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531F1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a belső minősítésen alapuló módszer alapváltozata (FIRB)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CDE8" w14:textId="370F7A37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 w:rsidRPr="000C2A10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672.975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D1193" w14:textId="3DFA772F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706.941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1B80" w14:textId="3E4BEDA4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53.838    </w:t>
            </w:r>
          </w:p>
        </w:tc>
      </w:tr>
      <w:tr w:rsidR="00473062" w:rsidRPr="005B6068" w14:paraId="24408BA9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B846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4692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E3385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a belső minősítésen alapuló módszer fejlett változata (AIRB)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3F0B" w14:textId="33A13317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 w:rsidRPr="00E35907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7F03" w14:textId="4A31BEAA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4CDC" w14:textId="716C5A45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5E6DB75A" w14:textId="77777777" w:rsidTr="00D52888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A9B60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8890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F0296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részvényjellegű pozíciók az egyszerű kockázattal súlyozott módszer és a belső modell módszer (IMA) alapján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FB26" w14:textId="18AD9419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 w:rsidRPr="00E35907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5.245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9C5A9" w14:textId="56173548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4.736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AA9B" w14:textId="5363FFD2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420    </w:t>
            </w:r>
          </w:p>
        </w:tc>
      </w:tr>
      <w:tr w:rsidR="00473062" w:rsidRPr="005B6068" w14:paraId="24DDD921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FD6A1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 xml:space="preserve">107. cikk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9BDA7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D5701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>Partnerkockázat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FA911" w14:textId="36718638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</w:t>
            </w:r>
            <w:r w:rsidR="00390E69">
              <w:rPr>
                <w:rFonts w:ascii="Arial" w:hAnsi="Arial" w:cs="Arial"/>
                <w:b/>
                <w:bCs/>
                <w:color w:val="000000"/>
                <w:szCs w:val="20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  <w:r w:rsidR="00390E69">
              <w:rPr>
                <w:rFonts w:ascii="Arial" w:hAnsi="Arial" w:cs="Arial"/>
                <w:b/>
                <w:bCs/>
                <w:color w:val="000000"/>
                <w:szCs w:val="20"/>
              </w:rPr>
              <w:t>57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0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B3A3" w14:textId="7CF5AEDF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</w:t>
            </w:r>
            <w:r w:rsidR="00390E69">
              <w:rPr>
                <w:rFonts w:ascii="Arial" w:hAnsi="Arial" w:cs="Arial"/>
                <w:b/>
                <w:bCs/>
                <w:color w:val="00000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2.2</w:t>
            </w:r>
            <w:r w:rsidR="00390E69">
              <w:rPr>
                <w:rFonts w:ascii="Arial" w:hAnsi="Arial" w:cs="Arial"/>
                <w:b/>
                <w:bCs/>
                <w:color w:val="000000"/>
                <w:szCs w:val="20"/>
              </w:rPr>
              <w:t>51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9527A" w14:textId="6369253F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  3.4</w:t>
            </w:r>
            <w:r w:rsidR="00390E69">
              <w:rPr>
                <w:rFonts w:ascii="Arial" w:hAnsi="Arial" w:cs="Arial"/>
                <w:b/>
                <w:bCs/>
                <w:color w:val="000000"/>
                <w:szCs w:val="20"/>
              </w:rPr>
              <w:t>06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</w:t>
            </w:r>
          </w:p>
        </w:tc>
      </w:tr>
      <w:tr w:rsidR="00473062" w:rsidRPr="005B6068" w14:paraId="0E9878AC" w14:textId="77777777" w:rsidTr="00D52888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F936A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72DD6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64CF9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3CB51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BBA9D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31138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</w:p>
        </w:tc>
      </w:tr>
      <w:tr w:rsidR="00390E69" w:rsidRPr="005B6068" w14:paraId="7B0FCF29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A2479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5DC19" w14:textId="77777777" w:rsidR="00390E69" w:rsidRPr="00D52888" w:rsidRDefault="00390E69" w:rsidP="00390E69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97005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piaci árazás szerint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277C" w14:textId="60752006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41.705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6BEAE" w14:textId="0F8121B7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50.309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CBCA" w14:textId="0D723C70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3.336    </w:t>
            </w:r>
          </w:p>
        </w:tc>
      </w:tr>
      <w:tr w:rsidR="00473062" w:rsidRPr="005B6068" w14:paraId="2D9A14FE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B4A03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2125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B49EE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eredeti kitettség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FFFDC" w14:textId="533879CB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787F1" w14:textId="38A54C6B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0D67" w14:textId="38717F63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06A8E2DF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40F52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C755D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F2995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sztenderd 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B06D4" w14:textId="7530BC9F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E62F" w14:textId="69C120C9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85385" w14:textId="3113B721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6D8E734C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386A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50536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5C620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a belső modell módszer (IMM)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EADD8" w14:textId="5C654D58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FE061" w14:textId="35551970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FC9D2" w14:textId="1CBDA9D1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6CD30303" w14:textId="77777777" w:rsidTr="00D52888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A2E09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D9D4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54339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a központi szerződő fél garanciaalapjába befizetett hozzájárulások kockázati kitettség-összege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DE29" w14:textId="33AB9EE1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 w:rsidRPr="00E35907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BFC8" w14:textId="59FAF421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4348" w14:textId="0B748064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67C7D65F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76C78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c) és d)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2476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8C038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>ebből hitelértékelési korrekció (CVA)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2020" w14:textId="0F6E2D1C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866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4482A" w14:textId="10C5482B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1.942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333F" w14:textId="7B6E478D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      69    </w:t>
            </w:r>
          </w:p>
        </w:tc>
      </w:tr>
      <w:tr w:rsidR="00815617" w:rsidRPr="005B6068" w14:paraId="62798043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7D639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e)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2F23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710E1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Elszámolási kockázat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F664C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544A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27D31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815617" w:rsidRPr="005B6068" w14:paraId="5514B3ED" w14:textId="77777777" w:rsidTr="00D52888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A84C5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449. cikk o) pontjának i.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7220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B196E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proofErr w:type="spellStart"/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Értékpapírosítási</w:t>
            </w:r>
            <w:proofErr w:type="spellEnd"/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 xml:space="preserve"> kitettségek a banki könyvben (a felső határ után)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B68B3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 w:rsidRPr="00EF26D8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C8FC5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2BE4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815617" w:rsidRPr="005B6068" w14:paraId="0BECF3C0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6CBB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30F69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301F0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IRB-módszer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E4960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1C503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D576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815617" w:rsidRPr="005B6068" w14:paraId="007921D8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FC519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91A56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42F4D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az IRB felügyeleti képlet módszere (SFA)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7A9EA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 w:rsidRPr="00EF26D8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E431D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5F7D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815617" w:rsidRPr="005B6068" w14:paraId="20521846" w14:textId="77777777" w:rsidTr="00D52888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4105E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C922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4DA45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belső értékelési módszer (IAA)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65665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 w:rsidRPr="00EF26D8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-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D258E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6694A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815617" w:rsidRPr="005B6068" w14:paraId="4AF5040B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9E77C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24069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DD71C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sztenderd 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21447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0D017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FC91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390E69" w:rsidRPr="005B6068" w14:paraId="1FCFE588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EAC5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e)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35A10" w14:textId="77777777" w:rsidR="00390E69" w:rsidRPr="00D52888" w:rsidRDefault="00390E69" w:rsidP="00390E69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2F120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Piaci kockázat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9463F" w14:textId="5CB2C748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38.021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AEC2" w14:textId="33196040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29.132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53A72" w14:textId="3F7C6B8A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  3.042    </w:t>
            </w:r>
          </w:p>
        </w:tc>
      </w:tr>
      <w:tr w:rsidR="00390E69" w:rsidRPr="005B6068" w14:paraId="333B6931" w14:textId="77777777" w:rsidTr="00F84EE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5C24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C7A5D" w14:textId="77777777" w:rsidR="00390E69" w:rsidRPr="00D52888" w:rsidRDefault="00390E69" w:rsidP="00390E69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1ED9" w14:textId="77777777" w:rsidR="00390E69" w:rsidRPr="00D52888" w:rsidRDefault="00390E69" w:rsidP="00390E69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sztenderd 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353D" w14:textId="45E26514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38.021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26CC" w14:textId="2AE1C262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29.132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F3E71" w14:textId="1EE483C1" w:rsidR="00390E69" w:rsidRDefault="00390E69" w:rsidP="00390E6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3.042    </w:t>
            </w:r>
          </w:p>
        </w:tc>
      </w:tr>
      <w:tr w:rsidR="00815617" w:rsidRPr="005B6068" w14:paraId="3BA41A1E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F451C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0183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5DD39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4BD5C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12A3F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E72BA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815617" w:rsidRPr="005B6068" w14:paraId="0F3CB98F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AD4DB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e)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494DF" w14:textId="77777777" w:rsidR="00815617" w:rsidRPr="00D52888" w:rsidRDefault="00815617" w:rsidP="00815617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01B82" w14:textId="77777777" w:rsidR="00815617" w:rsidRPr="00D52888" w:rsidRDefault="00815617" w:rsidP="00815617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Nagykockázat-vállalások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C24AB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70D0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FBA59" w14:textId="77777777" w:rsidR="00815617" w:rsidRDefault="00815617" w:rsidP="00815617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43CD00DC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75288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438. cikk f) pontja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5EBFE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B5F24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>Működési kockázat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DC930" w14:textId="50BBD353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165.157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BF980" w14:textId="50A6EE98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162.919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6CC8" w14:textId="2F1C1616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13.213    </w:t>
            </w:r>
          </w:p>
        </w:tc>
      </w:tr>
      <w:tr w:rsidR="00473062" w:rsidRPr="005B6068" w14:paraId="58DD08B5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6C759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697D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DB72D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az alapmutató módszere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9203A" w14:textId="63880DCD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4.358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613AE" w14:textId="75865A12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4.358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E669" w14:textId="3E3A5442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349    </w:t>
            </w:r>
          </w:p>
        </w:tc>
      </w:tr>
      <w:tr w:rsidR="00473062" w:rsidRPr="005B6068" w14:paraId="01E50512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3FB4B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C4988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DC5B8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sztenderd 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6D91E" w14:textId="5EBF3B38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5.078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4335C" w14:textId="694FCBFA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5.078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313A3" w14:textId="35512098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406    </w:t>
            </w:r>
          </w:p>
        </w:tc>
      </w:tr>
      <w:tr w:rsidR="00473062" w:rsidRPr="005B6068" w14:paraId="7E9D79C9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04780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3C9AE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CC9F6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ebből fejlett mérési módszer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CD395" w14:textId="045C3AD8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155.721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E6A6" w14:textId="614A18DA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153.482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613F" w14:textId="72A85FB9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12.458    </w:t>
            </w:r>
          </w:p>
        </w:tc>
      </w:tr>
      <w:tr w:rsidR="00473062" w:rsidRPr="005B6068" w14:paraId="7DFBE955" w14:textId="77777777" w:rsidTr="00D52888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6144B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437. cikk (2) bekezdése, a (48) cikk és a 60. cikk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58040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5EC99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 levonási küszöbök alatti összegek (amelyekre 250%-os kockázati súly vonatkozik)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258C9" w14:textId="390CA165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 w:rsidRPr="00E35907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5017F" w14:textId="34986287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1CE2" w14:textId="5508AFC8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48DEE5C8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5CE9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500. cikk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03A61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C45A6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Alsó korlát kiigazítása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8C3CE" w14:textId="494C6439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7449" w14:textId="12ADAD03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610CA" w14:textId="2BD2F873" w:rsidR="00473062" w:rsidRDefault="00473062" w:rsidP="0047306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73062" w:rsidRPr="005B6068" w14:paraId="726DE840" w14:textId="77777777" w:rsidTr="00D52888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1FFAD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A5767" w14:textId="77777777" w:rsidR="00473062" w:rsidRPr="00D52888" w:rsidRDefault="00473062" w:rsidP="00473062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color w:val="000000"/>
                <w:szCs w:val="20"/>
                <w:lang w:val="hu-H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7F62B" w14:textId="77777777" w:rsidR="00473062" w:rsidRPr="00D52888" w:rsidRDefault="00473062" w:rsidP="00473062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</w:pPr>
            <w:r w:rsidRPr="00D52888">
              <w:rPr>
                <w:rFonts w:ascii="UniCredit" w:eastAsia="Times New Roman" w:hAnsi="UniCredit" w:cs="Arial"/>
                <w:b/>
                <w:bCs/>
                <w:color w:val="000000"/>
                <w:szCs w:val="20"/>
                <w:lang w:val="hu-HU"/>
              </w:rPr>
              <w:t>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B8AE3" w14:textId="57921BA2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1.497.716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1A4D" w14:textId="1B3AF71C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1.627.477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F521" w14:textId="4026BE2B" w:rsidR="00473062" w:rsidRDefault="00473062" w:rsidP="0047306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119.817    </w:t>
            </w:r>
          </w:p>
        </w:tc>
      </w:tr>
    </w:tbl>
    <w:p w14:paraId="7D73C35A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</w:pPr>
    </w:p>
    <w:p w14:paraId="5D1A474F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</w:pPr>
    </w:p>
    <w:p w14:paraId="542E8607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</w:pPr>
    </w:p>
    <w:p w14:paraId="17D89CB4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  <w:sectPr w:rsidR="00AC1478" w:rsidRPr="00D52888" w:rsidSect="002C46AA">
          <w:headerReference w:type="default" r:id="rId16"/>
          <w:footerReference w:type="default" r:id="rId17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0056EA" w14:textId="77777777" w:rsidR="00AC1478" w:rsidRPr="00D52888" w:rsidRDefault="00AC1478" w:rsidP="00C11B4C">
      <w:pPr>
        <w:rPr>
          <w:rFonts w:ascii="UniCredit" w:hAnsi="UniCredit"/>
          <w:b/>
          <w:bCs/>
          <w:szCs w:val="20"/>
          <w:lang w:val="hu-HU"/>
        </w:rPr>
      </w:pPr>
    </w:p>
    <w:p w14:paraId="641351AE" w14:textId="77777777" w:rsidR="00113C8B" w:rsidRDefault="00113C8B" w:rsidP="00002BE0">
      <w:pPr>
        <w:rPr>
          <w:rFonts w:ascii="UniCredit" w:hAnsi="UniCredit"/>
          <w:szCs w:val="20"/>
          <w:lang w:val="hu-HU"/>
        </w:rPr>
      </w:pPr>
    </w:p>
    <w:p w14:paraId="54317805" w14:textId="77777777" w:rsidR="00AF41A5" w:rsidRDefault="00A313F4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" w:name="_Toc48209095"/>
      <w:r w:rsidRPr="00196F71">
        <w:rPr>
          <w:rFonts w:ascii="UniCredit" w:hAnsi="UniCredit"/>
          <w:b/>
          <w:sz w:val="20"/>
          <w:szCs w:val="20"/>
          <w:lang w:val="hu-HU"/>
        </w:rPr>
        <w:t>EU CR10</w:t>
      </w:r>
      <w:r>
        <w:rPr>
          <w:rFonts w:ascii="UniCredit" w:hAnsi="UniCredit"/>
          <w:b/>
          <w:sz w:val="20"/>
          <w:szCs w:val="20"/>
          <w:lang w:val="hu-HU"/>
        </w:rPr>
        <w:t xml:space="preserve"> - </w:t>
      </w:r>
      <w:r w:rsidR="00AF41A5" w:rsidRPr="00196F71">
        <w:rPr>
          <w:rFonts w:ascii="UniCredit" w:hAnsi="UniCredit"/>
          <w:b/>
          <w:sz w:val="20"/>
          <w:szCs w:val="20"/>
          <w:lang w:val="hu-HU"/>
        </w:rPr>
        <w:t>Speciális hitelezési, illetve részvényjellegű kitettségek</w:t>
      </w:r>
      <w:bookmarkEnd w:id="1"/>
      <w:r w:rsidR="00AF41A5" w:rsidRPr="00196F71">
        <w:rPr>
          <w:rFonts w:ascii="UniCredit" w:hAnsi="UniCredit"/>
          <w:b/>
          <w:sz w:val="20"/>
          <w:szCs w:val="20"/>
          <w:lang w:val="hu-HU"/>
        </w:rPr>
        <w:t xml:space="preserve"> </w:t>
      </w:r>
    </w:p>
    <w:p w14:paraId="08D642AB" w14:textId="77777777" w:rsidR="00C36C77" w:rsidRPr="00C36C77" w:rsidRDefault="00C36C77" w:rsidP="00C36C77">
      <w:pPr>
        <w:rPr>
          <w:lang w:val="hu-HU"/>
        </w:rPr>
      </w:pPr>
    </w:p>
    <w:p w14:paraId="1EC84E59" w14:textId="295A5F06" w:rsidR="00C36C77" w:rsidRPr="00C36C77" w:rsidRDefault="00C36C77" w:rsidP="00C36C77">
      <w:pPr>
        <w:rPr>
          <w:lang w:val="hu-HU"/>
        </w:rPr>
      </w:pPr>
    </w:p>
    <w:p w14:paraId="057276F7" w14:textId="77777777" w:rsidR="00196F71" w:rsidRDefault="00196F71" w:rsidP="00196F71">
      <w:pPr>
        <w:rPr>
          <w:lang w:val="hu-HU"/>
        </w:rPr>
      </w:pPr>
    </w:p>
    <w:p w14:paraId="134A91EA" w14:textId="77777777" w:rsidR="00DF3984" w:rsidRPr="00196F71" w:rsidRDefault="00DF3984" w:rsidP="00196F71">
      <w:pPr>
        <w:rPr>
          <w:lang w:val="hu-HU"/>
        </w:rPr>
      </w:pPr>
      <w:r w:rsidRPr="00DF3984">
        <w:rPr>
          <w:noProof/>
          <w:lang w:val="en-US"/>
        </w:rPr>
        <w:drawing>
          <wp:inline distT="0" distB="0" distL="0" distR="0" wp14:anchorId="2B21AC7E" wp14:editId="45E32661">
            <wp:extent cx="5760085" cy="3367213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6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C670" w14:textId="77777777" w:rsidR="00E35907" w:rsidRDefault="00E35907" w:rsidP="00002BE0">
      <w:pPr>
        <w:rPr>
          <w:rFonts w:ascii="UniCredit" w:hAnsi="UniCredit"/>
          <w:szCs w:val="20"/>
          <w:lang w:val="hu-HU"/>
        </w:rPr>
        <w:sectPr w:rsidR="00E35907" w:rsidSect="002C46AA">
          <w:footerReference w:type="first" r:id="rId19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ECC699E" w14:textId="7CD139A7" w:rsidR="00AF41A5" w:rsidRDefault="00AF41A5" w:rsidP="00002BE0">
      <w:pPr>
        <w:rPr>
          <w:rFonts w:ascii="UniCredit" w:hAnsi="UniCredit"/>
          <w:szCs w:val="20"/>
          <w:lang w:val="hu-HU"/>
        </w:rPr>
      </w:pPr>
    </w:p>
    <w:p w14:paraId="72FCA14C" w14:textId="77777777" w:rsidR="00AF41A5" w:rsidRPr="00D52888" w:rsidRDefault="00AF41A5" w:rsidP="00002BE0">
      <w:pPr>
        <w:rPr>
          <w:rFonts w:ascii="UniCredit" w:hAnsi="UniCredit"/>
          <w:szCs w:val="20"/>
          <w:lang w:val="hu-HU"/>
        </w:rPr>
      </w:pPr>
    </w:p>
    <w:p w14:paraId="60C4C4B6" w14:textId="77777777" w:rsidR="00C11B4C" w:rsidRPr="00582139" w:rsidRDefault="00C11B4C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" w:name="_Toc48209096"/>
      <w:r w:rsidRPr="00582139">
        <w:rPr>
          <w:rFonts w:ascii="UniCredit" w:hAnsi="UniCredit"/>
          <w:b/>
          <w:sz w:val="20"/>
          <w:szCs w:val="20"/>
          <w:lang w:val="hu-HU"/>
        </w:rPr>
        <w:t>A likviditásfedezeti rátáról szóló mennyiségi információk a CRR 435. cikk (1) bekezdés f) pontja alapján</w:t>
      </w:r>
      <w:bookmarkEnd w:id="2"/>
      <w:r w:rsidRPr="00582139">
        <w:rPr>
          <w:rFonts w:ascii="UniCredit" w:hAnsi="UniCredit"/>
          <w:b/>
          <w:sz w:val="20"/>
          <w:szCs w:val="20"/>
          <w:lang w:val="hu-H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044"/>
        <w:gridCol w:w="1275"/>
        <w:gridCol w:w="1275"/>
        <w:gridCol w:w="1275"/>
        <w:gridCol w:w="1281"/>
        <w:gridCol w:w="1275"/>
        <w:gridCol w:w="1275"/>
        <w:gridCol w:w="1275"/>
        <w:gridCol w:w="1278"/>
      </w:tblGrid>
      <w:tr w:rsidR="00614F36" w:rsidRPr="00614F36" w14:paraId="0D34C9E3" w14:textId="77777777" w:rsidTr="00E35907">
        <w:trPr>
          <w:trHeight w:val="270"/>
        </w:trPr>
        <w:tc>
          <w:tcPr>
            <w:tcW w:w="13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ABE70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Konszolidált</w:t>
            </w:r>
            <w:proofErr w:type="spellEnd"/>
          </w:p>
        </w:tc>
        <w:tc>
          <w:tcPr>
            <w:tcW w:w="1826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8A468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Súlyozatlan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érték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összesen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átlag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826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7FBD5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Súlyozott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érték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összesen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átlag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614F36" w:rsidRPr="00614F36" w14:paraId="180DF338" w14:textId="77777777" w:rsidTr="00E35907">
        <w:trPr>
          <w:trHeight w:val="270"/>
        </w:trPr>
        <w:tc>
          <w:tcPr>
            <w:tcW w:w="13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1C316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HUF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millió</w:t>
            </w:r>
            <w:proofErr w:type="spellEnd"/>
          </w:p>
        </w:tc>
        <w:tc>
          <w:tcPr>
            <w:tcW w:w="1826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FC1F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26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5FA3F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614F36" w:rsidRPr="00614F36" w14:paraId="4F0303B9" w14:textId="77777777" w:rsidTr="00E35907">
        <w:trPr>
          <w:trHeight w:val="270"/>
        </w:trPr>
        <w:tc>
          <w:tcPr>
            <w:tcW w:w="13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64E3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Negyedév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vége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457D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2019.09.30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8AE7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2019.12.31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6861F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2020.03.31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5B09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2020.06.30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20D7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2019.09.30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B743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2019.12.31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7967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2020.03.31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4C1E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2020.06.30</w:t>
            </w:r>
          </w:p>
        </w:tc>
      </w:tr>
      <w:tr w:rsidR="00614F36" w:rsidRPr="00614F36" w14:paraId="1E7E9C96" w14:textId="77777777" w:rsidTr="00E35907">
        <w:trPr>
          <w:trHeight w:val="540"/>
        </w:trPr>
        <w:tc>
          <w:tcPr>
            <w:tcW w:w="13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2AE78" w14:textId="77777777" w:rsidR="00614F36" w:rsidRPr="00E35907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Az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átlag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számítása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során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figyelembe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vételre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került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megfigyelési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időszakok</w:t>
            </w:r>
            <w:proofErr w:type="spellEnd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száma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F866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53D8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69CD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9945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9D98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AC89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AEDB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CC0B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614F36" w:rsidRPr="00614F36" w14:paraId="01B408CF" w14:textId="77777777" w:rsidTr="00E35907">
        <w:trPr>
          <w:trHeight w:val="2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A49F11E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Magas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minőségű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likvid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eszközök</w:t>
            </w:r>
            <w:proofErr w:type="spellEnd"/>
          </w:p>
        </w:tc>
      </w:tr>
      <w:tr w:rsidR="00614F36" w:rsidRPr="00614F36" w14:paraId="7BA6FDC6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C298E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6FEBF9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Összes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magas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minőségű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likvid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eszköz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16BC8028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D4A0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688.181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5EFEE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777.185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65115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733.628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5756B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874.648</w:t>
            </w:r>
          </w:p>
        </w:tc>
      </w:tr>
      <w:tr w:rsidR="00614F36" w:rsidRPr="00614F36" w14:paraId="724D7C18" w14:textId="77777777" w:rsidTr="00E35907">
        <w:trPr>
          <w:trHeight w:val="2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0629DD3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Kiáramlások</w:t>
            </w:r>
            <w:proofErr w:type="spellEnd"/>
          </w:p>
        </w:tc>
      </w:tr>
      <w:tr w:rsidR="00614F36" w:rsidRPr="00614F36" w14:paraId="5ACE5F13" w14:textId="77777777" w:rsidTr="00E35907">
        <w:trPr>
          <w:trHeight w:val="43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9E99C2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2.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7D76D3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Lakossági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és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kisvállalkozói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betétek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ebből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4643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709.815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C4F9C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727.157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AF2DC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747.684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7CB12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817.556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A5921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70.199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263A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68.563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16F68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68.214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D987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66.401</w:t>
            </w:r>
          </w:p>
        </w:tc>
      </w:tr>
      <w:tr w:rsidR="00614F36" w:rsidRPr="00614F36" w14:paraId="7BBA281B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39F0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3.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8474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Stabil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betétek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2EE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105.284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43A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163.382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BD7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213.731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E0A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319.346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B07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5.264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0BA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8.169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259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10.687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1D1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15.967</w:t>
            </w:r>
          </w:p>
        </w:tc>
      </w:tr>
      <w:tr w:rsidR="00614F36" w:rsidRPr="00614F36" w14:paraId="269FA1D7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9B94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4.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5BB3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Kevésbé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stabil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betétek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C13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604.532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1C2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563.775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526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533.953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955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464.433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BC3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64.935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57C2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60.393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75E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57.528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E1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50.434</w:t>
            </w:r>
          </w:p>
        </w:tc>
      </w:tr>
      <w:tr w:rsidR="00614F36" w:rsidRPr="00614F36" w14:paraId="5C8ECF27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107924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5.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043138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Fedezetlen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bankközi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finanszírozás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114B2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1.178.263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E3EB7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1.274.022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CD4FA2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1.218.583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4C90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1.276.417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51D15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580.256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D8B35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656.564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6294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609.295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49E2C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645.767</w:t>
            </w:r>
          </w:p>
        </w:tc>
      </w:tr>
      <w:tr w:rsidR="00614F36" w:rsidRPr="00614F36" w14:paraId="1E3F7AFC" w14:textId="77777777" w:rsidTr="00E35907">
        <w:trPr>
          <w:trHeight w:val="64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EE98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6.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3ED8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Operatív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betétek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minden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partner)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és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szövetkezeti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bankok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hálózatán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belüli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betétek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C79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70.047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1E5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70.128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965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69.600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844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115.525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C7F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17.512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909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17.532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C0F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17.387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576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52.865</w:t>
            </w:r>
          </w:p>
        </w:tc>
      </w:tr>
      <w:tr w:rsidR="00614F36" w:rsidRPr="00614F36" w14:paraId="42A7BE4A" w14:textId="77777777" w:rsidTr="00E35907">
        <w:trPr>
          <w:trHeight w:val="43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DF8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7.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160E" w14:textId="77777777" w:rsidR="00614F36" w:rsidRPr="00E35907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Nem</w:t>
            </w:r>
            <w:proofErr w:type="spellEnd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operatív</w:t>
            </w:r>
            <w:proofErr w:type="spellEnd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betétek</w:t>
            </w:r>
            <w:proofErr w:type="spellEnd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minden</w:t>
            </w:r>
            <w:proofErr w:type="spellEnd"/>
            <w:r w:rsidRPr="00E35907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 partner)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E7C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1.104.944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D58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1.203.894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394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1.148.983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DF7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1.160.892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B82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559.472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29D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639.032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8C8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591.908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AB3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592.902</w:t>
            </w:r>
          </w:p>
        </w:tc>
      </w:tr>
      <w:tr w:rsidR="00614F36" w:rsidRPr="00614F36" w14:paraId="3E264324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FE24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8.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7C13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Fedezetlen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adósság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CC4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3272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994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744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1A0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BF9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3272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60F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E4C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B83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764A1BE6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A8D39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9.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38B90C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Fedezett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bankközi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finanszírozás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741FC61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E69A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28A9C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05026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3AA14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1EBF94A9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D311B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10.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197AC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Egyéb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követelmények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48A8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703.916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53769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682.119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F89FD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646.885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91562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589.578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2A5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224.841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A422D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234.838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D9E2B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178.454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DB079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145.949</w:t>
            </w:r>
          </w:p>
        </w:tc>
      </w:tr>
      <w:tr w:rsidR="00614F36" w:rsidRPr="00614F36" w14:paraId="334ACD6D" w14:textId="77777777" w:rsidTr="00E35907">
        <w:trPr>
          <w:trHeight w:val="73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D895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11.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A705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Származtatott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kitettségekkel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és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egyéb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biztosítéki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követelményekkel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kapcsolatos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kiáramlások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2AF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154.348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BF1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165.433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9C4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115.316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5D5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88.782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644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154.348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3FA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165.433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C7A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115.316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F69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88.782</w:t>
            </w:r>
          </w:p>
        </w:tc>
      </w:tr>
      <w:tr w:rsidR="00614F36" w:rsidRPr="00614F36" w14:paraId="71837061" w14:textId="77777777" w:rsidTr="00E35907">
        <w:trPr>
          <w:trHeight w:val="73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A3A4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12.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AAA3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Adósság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termékeken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keletkezett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finanszírozási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veszteséggel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kapcsolatos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kiáramlások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03D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F8C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0A8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1217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6AA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714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538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BFC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F4F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614F36" w:rsidRPr="00614F36" w14:paraId="1D0EA0B2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273B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13.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F526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Hitel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és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likviditási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keretek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902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549.565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818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516.686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3C4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530.352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9C5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500.775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0EC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70.491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9E5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69.405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1B9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63.138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615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57.146</w:t>
            </w:r>
          </w:p>
        </w:tc>
      </w:tr>
      <w:tr w:rsidR="00614F36" w:rsidRPr="00614F36" w14:paraId="382FD7AB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78396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14.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FF0CD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Egyéb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szerződéses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kötelezettségek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85C41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28.574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145A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43.965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91B1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25.884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B00C0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24.095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CA52D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28.574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9DED2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43.965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4605E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25.884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5DC3D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24.095</w:t>
            </w:r>
          </w:p>
        </w:tc>
      </w:tr>
      <w:tr w:rsidR="00614F36" w:rsidRPr="00614F36" w14:paraId="4B1CE980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71818E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15.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83F48A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Egyéb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feltételes</w:t>
            </w:r>
            <w:proofErr w:type="spellEnd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kötelezettségek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48FE5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831.425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522FE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799.793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04010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808.629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A8B3D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586.275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08762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56.944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9ACC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51.680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563CB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48.809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64EE7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41.474</w:t>
            </w:r>
          </w:p>
        </w:tc>
      </w:tr>
      <w:tr w:rsidR="00614F36" w:rsidRPr="00614F36" w14:paraId="19B10D5D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36BC07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lastRenderedPageBreak/>
              <w:t>16.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D81AED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ÖSSZES KIÁRAMLÁS</w:t>
            </w:r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3A8DF3C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CCFE0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960.814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AB80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1.055.610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B38C4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930.656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9A3E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923.686</w:t>
            </w:r>
          </w:p>
        </w:tc>
      </w:tr>
      <w:tr w:rsidR="00614F36" w:rsidRPr="00614F36" w14:paraId="00A304B6" w14:textId="77777777" w:rsidTr="00E35907">
        <w:trPr>
          <w:trHeight w:val="2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85A70B8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BEÁRAMLÁSOK</w:t>
            </w:r>
          </w:p>
        </w:tc>
      </w:tr>
      <w:tr w:rsidR="00614F36" w:rsidRPr="00614F36" w14:paraId="1420FC65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F860A2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17.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9FE844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Fedezett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hitelezés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(pl.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fordított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repó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9E4DA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1.382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15289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C3733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2.971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28C18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89.510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628A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1.282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A132E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AAB4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F97C4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0883DDA0" w14:textId="77777777" w:rsidTr="00E35907">
        <w:trPr>
          <w:trHeight w:val="4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7F714D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18.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2A832B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Teljesítő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kitettségekből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származó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6ED8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269079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04076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319701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CB15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300890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4C35F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453876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C00D8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257.431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D35C4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300.998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6CD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292.414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C3FB1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453.798</w:t>
            </w:r>
          </w:p>
        </w:tc>
      </w:tr>
      <w:tr w:rsidR="00614F36" w:rsidRPr="00614F36" w14:paraId="7CB1755C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D9EECF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19.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AB5111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Egyéb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1D92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261489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4C78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284121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671A0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183725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5F2B4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66599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0D2D3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167.508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8CAE0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185.673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FD704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113.500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CA1C6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66.597</w:t>
            </w:r>
          </w:p>
        </w:tc>
      </w:tr>
      <w:tr w:rsidR="00614F36" w:rsidRPr="00614F36" w14:paraId="0C5EC8FE" w14:textId="77777777" w:rsidTr="00E35907">
        <w:trPr>
          <w:trHeight w:val="148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03CB0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EU-19a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5505EE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{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Devizakiviteli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-/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behozatali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korlátozásokat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alkalmazó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harmadik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országokbeli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ügyletekből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eredő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vagy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nem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konvertibilis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pénznemben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denominált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összes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súlyozott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beá</w:t>
            </w: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softHyphen/>
              <w:t>ramlás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és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összes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súlyozott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kiáramlás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különbözete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} </w:t>
            </w:r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55D134B5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DFD4E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770E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B2C5E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5EF80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2717AD63" w14:textId="77777777" w:rsidTr="00E35907">
        <w:trPr>
          <w:trHeight w:val="4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516994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EU-19b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4C1A2B" w14:textId="77777777" w:rsidR="00614F36" w:rsidRPr="00614F36" w:rsidRDefault="00614F36" w:rsidP="00614F36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{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Kapcsolt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szakosított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hitelintézettől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származó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többlet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beáramlás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}</w:t>
            </w:r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1B94E7CC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D4078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EF20B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C8217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B8C98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342A439C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38009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20.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33C7A3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Összes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beáramlás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7EA76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531.949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E92FE7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603.995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F72B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487.586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404FA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609.984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3CF24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426.221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27F04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486.843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3A97A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405.972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D7FDA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520.394</w:t>
            </w:r>
          </w:p>
        </w:tc>
      </w:tr>
      <w:tr w:rsidR="00614F36" w:rsidRPr="00614F36" w14:paraId="79E98441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990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EU-20a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9353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Teljesen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mentesített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beáramlások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E0C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BF8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D07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4BB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779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3E09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ADD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0C3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1DC96B6B" w14:textId="77777777" w:rsidTr="00E35907">
        <w:trPr>
          <w:trHeight w:val="43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BABC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EU-20b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815B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90 %-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os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felső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korlát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alá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tartozó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beáramlások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6FB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18B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0E7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8BC1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182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23A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90D6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539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4F36" w:rsidRPr="00614F36" w14:paraId="47AFE109" w14:textId="77777777" w:rsidTr="00E35907">
        <w:trPr>
          <w:trHeight w:val="43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B2E0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color w:val="000000"/>
                <w:sz w:val="16"/>
                <w:szCs w:val="16"/>
                <w:lang w:val="en-US"/>
              </w:rPr>
              <w:t>EU-20c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0E66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75 %-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os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felső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korlát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alá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tartozó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beáramlások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1C6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531.949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2C03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603.995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1B6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487.586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F2C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609.984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13A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426.221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E92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486.843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63E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405.972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494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520.394</w:t>
            </w:r>
          </w:p>
        </w:tc>
      </w:tr>
      <w:tr w:rsidR="00614F36" w:rsidRPr="00614F36" w14:paraId="7F0FF912" w14:textId="77777777" w:rsidTr="00E35907">
        <w:trPr>
          <w:trHeight w:val="270"/>
        </w:trPr>
        <w:tc>
          <w:tcPr>
            <w:tcW w:w="3174" w:type="pct"/>
            <w:gridSpan w:val="6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8E65E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8A84A9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Módosított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érték</w:t>
            </w:r>
            <w:proofErr w:type="spellEnd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összesen</w:t>
            </w:r>
            <w:proofErr w:type="spellEnd"/>
          </w:p>
        </w:tc>
      </w:tr>
      <w:tr w:rsidR="00614F36" w:rsidRPr="00614F36" w14:paraId="38BEA7D5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311CA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21.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E3BBE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Likviditási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puffer</w:t>
            </w:r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382694D5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287AAF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688.181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7541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777.185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62630E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733.628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7EE25B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874.648</w:t>
            </w:r>
          </w:p>
        </w:tc>
      </w:tr>
      <w:tr w:rsidR="00614F36" w:rsidRPr="00614F36" w14:paraId="3F329962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396A0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22.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A450C1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Összes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nettó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likviditás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kiáramlás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68BAABEA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22BD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534.593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9A0CA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568.767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DA479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524.684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FA30E5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403.292</w:t>
            </w:r>
          </w:p>
        </w:tc>
      </w:tr>
      <w:tr w:rsidR="00614F36" w:rsidRPr="00614F36" w14:paraId="28C5951C" w14:textId="77777777" w:rsidTr="00E35907">
        <w:trPr>
          <w:trHeight w:val="27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33166D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23.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F01490" w14:textId="77777777" w:rsidR="00614F36" w:rsidRPr="00614F36" w:rsidRDefault="00614F36" w:rsidP="00614F36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Likviditásfedezeti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>ráta</w:t>
            </w:r>
            <w:proofErr w:type="spellEnd"/>
            <w:r w:rsidRPr="00614F36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(%)</w:t>
            </w:r>
          </w:p>
        </w:tc>
        <w:tc>
          <w:tcPr>
            <w:tcW w:w="18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7A519E4B" w14:textId="77777777" w:rsidR="00614F36" w:rsidRPr="00614F36" w:rsidRDefault="00614F36" w:rsidP="00614F36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2961D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129,2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B59B8C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136,5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D0880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139,6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DBEAA4" w14:textId="77777777" w:rsidR="00614F36" w:rsidRPr="00614F36" w:rsidRDefault="00614F36" w:rsidP="00614F36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14F36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  <w:lang w:val="en-US"/>
              </w:rPr>
              <w:t>217,9</w:t>
            </w:r>
          </w:p>
        </w:tc>
      </w:tr>
    </w:tbl>
    <w:p w14:paraId="518A048C" w14:textId="77777777" w:rsidR="00E35907" w:rsidRDefault="00E35907">
      <w:pPr>
        <w:spacing w:after="200" w:line="276" w:lineRule="auto"/>
        <w:rPr>
          <w:rFonts w:ascii="UniCredit" w:hAnsi="UniCredit"/>
          <w:lang w:val="hu-HU"/>
        </w:rPr>
        <w:sectPr w:rsidR="00E35907" w:rsidSect="00E35907">
          <w:pgSz w:w="16840" w:h="11907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67BC7B9" w14:textId="1CD27973" w:rsidR="00196F71" w:rsidRDefault="00196F71">
      <w:pPr>
        <w:spacing w:after="200" w:line="276" w:lineRule="auto"/>
        <w:rPr>
          <w:rFonts w:ascii="UniCredit" w:hAnsi="UniCredit"/>
          <w:lang w:val="hu-HU"/>
        </w:rPr>
      </w:pPr>
    </w:p>
    <w:p w14:paraId="75A9BE20" w14:textId="02523E07" w:rsidR="00D80916" w:rsidRDefault="00D80916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3" w:name="_Toc48209097"/>
      <w:r w:rsidRPr="00196F71">
        <w:rPr>
          <w:rFonts w:ascii="UniCredit" w:hAnsi="UniCredit"/>
          <w:b/>
          <w:sz w:val="20"/>
          <w:szCs w:val="20"/>
          <w:lang w:val="hu-HU"/>
        </w:rPr>
        <w:t>EU CCR1 – A partnerkockázati kitettség elemzése módszerenként</w:t>
      </w:r>
      <w:bookmarkEnd w:id="3"/>
    </w:p>
    <w:p w14:paraId="282252E8" w14:textId="77777777" w:rsidR="000C2A10" w:rsidRPr="000C2A10" w:rsidRDefault="000C2A10" w:rsidP="000C2A10">
      <w:pPr>
        <w:rPr>
          <w:lang w:val="hu-HU"/>
        </w:rPr>
      </w:pPr>
    </w:p>
    <w:p w14:paraId="0BEFD221" w14:textId="1E016057" w:rsidR="00196F71" w:rsidRPr="00196F71" w:rsidRDefault="000C2A10" w:rsidP="00196F71">
      <w:pPr>
        <w:rPr>
          <w:lang w:val="hu-HU"/>
        </w:rPr>
      </w:pPr>
      <w:r w:rsidRPr="000C2A10">
        <w:drawing>
          <wp:inline distT="0" distB="0" distL="0" distR="0" wp14:anchorId="0DDA0F1B" wp14:editId="7D13F95C">
            <wp:extent cx="5760085" cy="23793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D0340" w14:textId="3150209E" w:rsidR="00D80916" w:rsidRDefault="00D80916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4AFD9F71" w14:textId="77777777" w:rsidR="00D80916" w:rsidRDefault="00D80916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7EDA9674" w14:textId="77777777" w:rsidR="00D80916" w:rsidRDefault="00D80916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r w:rsidRPr="00196F71">
        <w:rPr>
          <w:rFonts w:ascii="UniCredit" w:hAnsi="UniCredit"/>
          <w:b/>
          <w:sz w:val="20"/>
          <w:szCs w:val="20"/>
          <w:lang w:val="hu-HU"/>
        </w:rPr>
        <w:t xml:space="preserve">            </w:t>
      </w:r>
      <w:bookmarkStart w:id="4" w:name="_Toc48209098"/>
      <w:r w:rsidRPr="00196F71">
        <w:rPr>
          <w:rFonts w:ascii="UniCredit" w:hAnsi="UniCredit"/>
          <w:b/>
          <w:sz w:val="20"/>
          <w:szCs w:val="20"/>
          <w:lang w:val="hu-HU"/>
        </w:rPr>
        <w:t>EU CCR5-A – A nettósítás és az intézmény által tartott biztosítékok hatása a kitettségértékekre</w:t>
      </w:r>
      <w:bookmarkEnd w:id="4"/>
    </w:p>
    <w:p w14:paraId="22CAC944" w14:textId="77777777" w:rsidR="00196F71" w:rsidRPr="00196F71" w:rsidRDefault="00196F71" w:rsidP="00196F71">
      <w:pPr>
        <w:rPr>
          <w:lang w:val="hu-HU"/>
        </w:rPr>
      </w:pPr>
    </w:p>
    <w:p w14:paraId="5898098C" w14:textId="10304183" w:rsidR="00D80916" w:rsidRDefault="00D80916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5BB32383" w14:textId="77777777" w:rsidR="00C24792" w:rsidRDefault="00C24792" w:rsidP="00D80916">
      <w:pPr>
        <w:spacing w:after="200" w:line="276" w:lineRule="auto"/>
        <w:rPr>
          <w:rFonts w:ascii="UniCredit" w:hAnsi="UniCredit"/>
          <w:b/>
          <w:lang w:val="hu-HU"/>
        </w:rPr>
      </w:pPr>
      <w:r w:rsidRPr="00C24792">
        <w:rPr>
          <w:noProof/>
          <w:lang w:val="en-US"/>
        </w:rPr>
        <w:drawing>
          <wp:inline distT="0" distB="0" distL="0" distR="0" wp14:anchorId="2C06DE45" wp14:editId="1E89BF9B">
            <wp:extent cx="5760085" cy="11569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648C3" w14:textId="77777777" w:rsidR="00D80916" w:rsidRDefault="00D80916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r w:rsidRPr="00196F71">
        <w:rPr>
          <w:rFonts w:ascii="UniCredit" w:hAnsi="UniCredit"/>
          <w:b/>
          <w:sz w:val="20"/>
          <w:szCs w:val="20"/>
          <w:lang w:val="hu-HU"/>
        </w:rPr>
        <w:t xml:space="preserve">           </w:t>
      </w:r>
      <w:bookmarkStart w:id="5" w:name="_Toc48209099"/>
      <w:r w:rsidRPr="00196F71">
        <w:rPr>
          <w:rFonts w:ascii="UniCredit" w:hAnsi="UniCredit"/>
          <w:b/>
          <w:sz w:val="20"/>
          <w:szCs w:val="20"/>
          <w:lang w:val="hu-HU"/>
        </w:rPr>
        <w:t>EU CCR5-B – A partnerkockázati kitettségek biztosítékainak összetétele</w:t>
      </w:r>
      <w:bookmarkEnd w:id="5"/>
    </w:p>
    <w:p w14:paraId="29021118" w14:textId="77777777" w:rsidR="00196F71" w:rsidRPr="00196F71" w:rsidRDefault="00196F71" w:rsidP="00196F71">
      <w:pPr>
        <w:rPr>
          <w:lang w:val="hu-HU"/>
        </w:rPr>
      </w:pPr>
    </w:p>
    <w:p w14:paraId="4F569EA9" w14:textId="7E9FEFF2" w:rsidR="00D80916" w:rsidRDefault="00D80916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49119B2D" w14:textId="7AB23A97" w:rsidR="00E35907" w:rsidRDefault="00C24792" w:rsidP="00D80916">
      <w:pPr>
        <w:spacing w:after="200" w:line="276" w:lineRule="auto"/>
        <w:rPr>
          <w:rFonts w:ascii="UniCredit" w:hAnsi="UniCredit"/>
          <w:b/>
          <w:lang w:val="hu-HU"/>
        </w:rPr>
      </w:pPr>
      <w:r w:rsidRPr="00C24792">
        <w:rPr>
          <w:noProof/>
          <w:lang w:val="en-US"/>
        </w:rPr>
        <w:drawing>
          <wp:inline distT="0" distB="0" distL="0" distR="0" wp14:anchorId="1E463F13" wp14:editId="07EE766D">
            <wp:extent cx="5760085" cy="1271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BE73" w14:textId="77777777" w:rsidR="00E35907" w:rsidRDefault="00E35907">
      <w:pPr>
        <w:spacing w:after="200" w:line="276" w:lineRule="auto"/>
        <w:rPr>
          <w:rFonts w:ascii="UniCredit" w:hAnsi="UniCredit"/>
          <w:b/>
          <w:lang w:val="hu-HU"/>
        </w:rPr>
      </w:pPr>
      <w:r>
        <w:rPr>
          <w:rFonts w:ascii="UniCredit" w:hAnsi="UniCredit"/>
          <w:b/>
          <w:lang w:val="hu-HU"/>
        </w:rPr>
        <w:br w:type="page"/>
      </w:r>
    </w:p>
    <w:p w14:paraId="7DDBF77C" w14:textId="77777777" w:rsidR="00C24792" w:rsidRDefault="00C24792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437AE8C3" w14:textId="77777777" w:rsidR="00FB4435" w:rsidRDefault="00FB4435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6" w:name="_Toc48209100"/>
      <w:r w:rsidRPr="00196F71">
        <w:rPr>
          <w:rFonts w:ascii="UniCredit" w:hAnsi="UniCredit"/>
          <w:b/>
          <w:sz w:val="20"/>
          <w:szCs w:val="20"/>
          <w:lang w:val="hu-HU"/>
        </w:rPr>
        <w:t>EU MR1</w:t>
      </w:r>
      <w:r w:rsidR="008D6913" w:rsidRPr="00196F71">
        <w:rPr>
          <w:rFonts w:ascii="UniCredit" w:hAnsi="UniCredit"/>
          <w:b/>
          <w:sz w:val="20"/>
          <w:szCs w:val="20"/>
          <w:lang w:val="hu-HU"/>
        </w:rPr>
        <w:t xml:space="preserve"> – Piaci</w:t>
      </w:r>
      <w:r w:rsidRPr="00196F71">
        <w:rPr>
          <w:rFonts w:ascii="UniCredit" w:hAnsi="UniCredit"/>
          <w:b/>
          <w:sz w:val="20"/>
          <w:szCs w:val="20"/>
          <w:lang w:val="hu-HU"/>
        </w:rPr>
        <w:t xml:space="preserve"> kockázat a sztenderd módszer alapján</w:t>
      </w:r>
      <w:bookmarkEnd w:id="6"/>
    </w:p>
    <w:p w14:paraId="5D404B64" w14:textId="77777777" w:rsidR="00196F71" w:rsidRPr="00196F71" w:rsidRDefault="00196F71" w:rsidP="00196F71">
      <w:pPr>
        <w:rPr>
          <w:lang w:val="hu-HU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3543"/>
      </w:tblGrid>
      <w:tr w:rsidR="00FB4435" w:rsidRPr="00B201A9" w14:paraId="33E107A3" w14:textId="77777777" w:rsidTr="00FB4435">
        <w:trPr>
          <w:trHeight w:hRule="exact" w:val="34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AFD0"/>
            <w:vAlign w:val="center"/>
            <w:hideMark/>
          </w:tcPr>
          <w:p w14:paraId="06993145" w14:textId="77777777" w:rsidR="00FB4435" w:rsidRPr="00B201A9" w:rsidRDefault="00FB4435" w:rsidP="00FB4435">
            <w:pPr>
              <w:rPr>
                <w:rFonts w:eastAsia="Times New Roman" w:cs="Arial"/>
                <w:b/>
                <w:bCs/>
                <w:color w:val="FFFFFF" w:themeColor="background1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b/>
                <w:bCs/>
                <w:color w:val="FFFFFF" w:themeColor="background1"/>
                <w:szCs w:val="20"/>
                <w:lang w:val="hu-HU" w:eastAsia="hu-HU"/>
              </w:rPr>
              <w:t xml:space="preserve">Piaci kockázatnak való kitettség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D0"/>
            <w:vAlign w:val="center"/>
            <w:hideMark/>
          </w:tcPr>
          <w:p w14:paraId="3E03D3CC" w14:textId="77777777" w:rsidR="00FB4435" w:rsidRPr="00B201A9" w:rsidRDefault="00FB4435" w:rsidP="00FB4435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b/>
                <w:bCs/>
                <w:color w:val="FFFFFF" w:themeColor="background1"/>
                <w:szCs w:val="20"/>
                <w:lang w:val="hu-HU" w:eastAsia="hu-HU"/>
              </w:rPr>
              <w:t>Tőkekövetelmény (millió forint)</w:t>
            </w:r>
          </w:p>
        </w:tc>
      </w:tr>
      <w:tr w:rsidR="00FB4435" w:rsidRPr="00B201A9" w14:paraId="40A623BB" w14:textId="77777777" w:rsidTr="00FB4435">
        <w:trPr>
          <w:trHeight w:hRule="exact" w:val="340"/>
        </w:trPr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EEB97A" w14:textId="77777777" w:rsidR="00FB4435" w:rsidRPr="00B201A9" w:rsidRDefault="00B201A9" w:rsidP="00FB4435">
            <w:pPr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szCs w:val="20"/>
                <w:lang w:val="hu-HU" w:eastAsia="hu-HU"/>
              </w:rPr>
              <w:t>Kamat</w:t>
            </w:r>
            <w:r w:rsidR="0045238F">
              <w:rPr>
                <w:rFonts w:eastAsia="Times New Roman" w:cs="Arial"/>
                <w:szCs w:val="20"/>
                <w:lang w:val="hu-HU" w:eastAsia="hu-HU"/>
              </w:rPr>
              <w:t xml:space="preserve"> </w:t>
            </w:r>
            <w:r w:rsidRPr="00B201A9">
              <w:rPr>
                <w:rFonts w:eastAsia="Times New Roman" w:cs="Arial"/>
                <w:szCs w:val="20"/>
                <w:lang w:val="hu-HU" w:eastAsia="hu-HU"/>
              </w:rPr>
              <w:t>kockázat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5F2E" w14:textId="15FE1B04" w:rsidR="00FB4435" w:rsidRPr="00B201A9" w:rsidRDefault="0008227D" w:rsidP="0008227D">
            <w:pPr>
              <w:jc w:val="right"/>
              <w:rPr>
                <w:rFonts w:eastAsia="Times New Roman" w:cs="Arial"/>
                <w:szCs w:val="20"/>
                <w:lang w:val="hu-HU" w:eastAsia="hu-HU"/>
              </w:rPr>
            </w:pPr>
            <w:r>
              <w:rPr>
                <w:rFonts w:eastAsia="Times New Roman" w:cs="Arial"/>
                <w:color w:val="000000" w:themeColor="text1"/>
                <w:szCs w:val="20"/>
                <w:lang w:val="hu-HU" w:eastAsia="hu-HU"/>
              </w:rPr>
              <w:t>3</w:t>
            </w:r>
            <w:r w:rsidR="00E63A59">
              <w:rPr>
                <w:rFonts w:eastAsia="Times New Roman" w:cs="Arial"/>
                <w:color w:val="000000" w:themeColor="text1"/>
                <w:szCs w:val="20"/>
                <w:lang w:val="hu-HU" w:eastAsia="hu-HU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Cs w:val="20"/>
                <w:lang w:val="hu-HU" w:eastAsia="hu-HU"/>
              </w:rPr>
              <w:t>042</w:t>
            </w:r>
          </w:p>
        </w:tc>
      </w:tr>
      <w:tr w:rsidR="00FB4435" w:rsidRPr="00B201A9" w14:paraId="7F34FAA6" w14:textId="77777777" w:rsidTr="00FB4435">
        <w:trPr>
          <w:trHeight w:hRule="exact" w:val="340"/>
        </w:trPr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B5835E" w14:textId="77777777" w:rsidR="00FB4435" w:rsidRPr="00B201A9" w:rsidRDefault="00FB4435" w:rsidP="00FB4435">
            <w:pPr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szCs w:val="20"/>
                <w:lang w:val="hu-HU" w:eastAsia="hu-HU"/>
              </w:rPr>
              <w:t>Részvény</w:t>
            </w:r>
            <w:r w:rsidR="0045238F">
              <w:rPr>
                <w:rFonts w:eastAsia="Times New Roman" w:cs="Arial"/>
                <w:szCs w:val="20"/>
                <w:lang w:val="hu-HU" w:eastAsia="hu-HU"/>
              </w:rPr>
              <w:t xml:space="preserve"> </w:t>
            </w:r>
            <w:r w:rsidR="00B201A9" w:rsidRPr="00B201A9">
              <w:rPr>
                <w:rFonts w:eastAsia="Times New Roman" w:cs="Arial"/>
                <w:szCs w:val="20"/>
                <w:lang w:val="hu-HU" w:eastAsia="hu-HU"/>
              </w:rPr>
              <w:t>kockázat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7D1A" w14:textId="77777777" w:rsidR="00FB4435" w:rsidRPr="00B201A9" w:rsidRDefault="00FB4435" w:rsidP="00FB4435">
            <w:pPr>
              <w:jc w:val="right"/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color w:val="000000" w:themeColor="text1"/>
                <w:szCs w:val="20"/>
                <w:lang w:val="hu-HU" w:eastAsia="hu-HU"/>
              </w:rPr>
              <w:t>0</w:t>
            </w:r>
          </w:p>
        </w:tc>
      </w:tr>
      <w:tr w:rsidR="00FB4435" w:rsidRPr="00B201A9" w14:paraId="2153216A" w14:textId="77777777" w:rsidTr="00FB4435">
        <w:trPr>
          <w:trHeight w:hRule="exact" w:val="340"/>
        </w:trPr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80B8F4" w14:textId="77777777" w:rsidR="00FB4435" w:rsidRPr="00B201A9" w:rsidRDefault="00FB4435" w:rsidP="00FB4435">
            <w:pPr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szCs w:val="20"/>
                <w:lang w:val="hu-HU" w:eastAsia="hu-HU"/>
              </w:rPr>
              <w:t>Deviza</w:t>
            </w:r>
            <w:r w:rsidR="0045238F">
              <w:rPr>
                <w:rFonts w:eastAsia="Times New Roman" w:cs="Arial"/>
                <w:szCs w:val="20"/>
                <w:lang w:val="hu-HU" w:eastAsia="hu-HU"/>
              </w:rPr>
              <w:t xml:space="preserve"> </w:t>
            </w:r>
            <w:r w:rsidR="00B201A9" w:rsidRPr="00B201A9">
              <w:rPr>
                <w:rFonts w:eastAsia="Times New Roman" w:cs="Arial"/>
                <w:szCs w:val="20"/>
                <w:lang w:val="hu-HU" w:eastAsia="hu-HU"/>
              </w:rPr>
              <w:t>kockázat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2BDB" w14:textId="77777777" w:rsidR="00FB4435" w:rsidRPr="00B201A9" w:rsidRDefault="00B201A9" w:rsidP="00FB4435">
            <w:pPr>
              <w:jc w:val="right"/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color w:val="000000" w:themeColor="text1"/>
                <w:szCs w:val="20"/>
                <w:lang w:val="hu-HU" w:eastAsia="hu-HU"/>
              </w:rPr>
              <w:t>0</w:t>
            </w:r>
          </w:p>
        </w:tc>
      </w:tr>
      <w:tr w:rsidR="00FB4435" w:rsidRPr="00B201A9" w14:paraId="1CF000AE" w14:textId="77777777" w:rsidTr="00FB4435">
        <w:trPr>
          <w:trHeight w:hRule="exact" w:val="340"/>
        </w:trPr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35A379" w14:textId="77777777" w:rsidR="00FB4435" w:rsidRPr="00B201A9" w:rsidRDefault="00FB4435" w:rsidP="00FB4435">
            <w:pPr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szCs w:val="20"/>
                <w:lang w:val="hu-HU" w:eastAsia="hu-HU"/>
              </w:rPr>
              <w:t>Áru</w:t>
            </w:r>
            <w:r w:rsidR="0045238F">
              <w:rPr>
                <w:rFonts w:eastAsia="Times New Roman" w:cs="Arial"/>
                <w:szCs w:val="20"/>
                <w:lang w:val="hu-HU" w:eastAsia="hu-HU"/>
              </w:rPr>
              <w:t xml:space="preserve"> </w:t>
            </w:r>
            <w:r w:rsidR="00B201A9" w:rsidRPr="00B201A9">
              <w:rPr>
                <w:rFonts w:eastAsia="Times New Roman" w:cs="Arial"/>
                <w:szCs w:val="20"/>
                <w:lang w:val="hu-HU" w:eastAsia="hu-HU"/>
              </w:rPr>
              <w:t>kockázat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02C4" w14:textId="77777777" w:rsidR="00FB4435" w:rsidRPr="00B201A9" w:rsidRDefault="00FB4435" w:rsidP="00FB4435">
            <w:pPr>
              <w:jc w:val="right"/>
              <w:rPr>
                <w:rFonts w:eastAsia="Times New Roman" w:cs="Arial"/>
                <w:szCs w:val="20"/>
                <w:lang w:val="hu-HU" w:eastAsia="hu-HU"/>
              </w:rPr>
            </w:pPr>
            <w:r w:rsidRPr="00B201A9">
              <w:rPr>
                <w:rFonts w:eastAsia="Times New Roman" w:cs="Arial"/>
                <w:color w:val="000000" w:themeColor="text1"/>
                <w:szCs w:val="20"/>
                <w:lang w:val="hu-HU" w:eastAsia="hu-HU"/>
              </w:rPr>
              <w:t>0</w:t>
            </w:r>
          </w:p>
        </w:tc>
      </w:tr>
    </w:tbl>
    <w:p w14:paraId="3E56E722" w14:textId="77777777" w:rsidR="00FB4435" w:rsidRDefault="00FB4435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0B0F97B9" w14:textId="77777777" w:rsidR="008C70AE" w:rsidRPr="00196F71" w:rsidRDefault="00196F71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7" w:name="_Toc13049252"/>
      <w:bookmarkStart w:id="8" w:name="_Toc48209101"/>
      <w:r>
        <w:rPr>
          <w:rFonts w:ascii="UniCredit" w:hAnsi="UniCredit"/>
          <w:b/>
          <w:sz w:val="20"/>
          <w:szCs w:val="20"/>
          <w:lang w:val="hu-HU"/>
        </w:rPr>
        <w:t xml:space="preserve">CCR2 - </w:t>
      </w:r>
      <w:r w:rsidR="008C70AE" w:rsidRPr="00196F71">
        <w:rPr>
          <w:rFonts w:ascii="UniCredit" w:hAnsi="UniCredit"/>
          <w:b/>
          <w:sz w:val="20"/>
          <w:szCs w:val="20"/>
          <w:lang w:val="hu-HU"/>
        </w:rPr>
        <w:t>A kitettségérték mértéke</w:t>
      </w:r>
      <w:bookmarkEnd w:id="7"/>
      <w:bookmarkEnd w:id="8"/>
    </w:p>
    <w:p w14:paraId="703C44D5" w14:textId="77777777" w:rsidR="008C70AE" w:rsidRDefault="008C70AE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960"/>
        <w:gridCol w:w="4140"/>
        <w:gridCol w:w="1960"/>
        <w:gridCol w:w="2680"/>
      </w:tblGrid>
      <w:tr w:rsidR="00C36C77" w:rsidRPr="00C36C77" w14:paraId="3BE245B3" w14:textId="77777777" w:rsidTr="00C36C77">
        <w:trPr>
          <w:trHeight w:val="270"/>
        </w:trPr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AFD0"/>
            <w:vAlign w:val="center"/>
            <w:hideMark/>
          </w:tcPr>
          <w:p w14:paraId="53299B29" w14:textId="77777777" w:rsidR="00C36C77" w:rsidRPr="00C36C77" w:rsidRDefault="00C36C77" w:rsidP="00C36C77">
            <w:pPr>
              <w:jc w:val="center"/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  <w:t xml:space="preserve">EU CCR2 – CVA </w:t>
            </w:r>
            <w:proofErr w:type="spellStart"/>
            <w:r w:rsidRPr="00C36C77"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  <w:t>tőkekövetelmény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7E32506D" w14:textId="77777777" w:rsidR="00C36C77" w:rsidRPr="00C36C77" w:rsidRDefault="00C36C77" w:rsidP="00C36C77">
            <w:pPr>
              <w:jc w:val="center"/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  <w:t>a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6B447250" w14:textId="77777777" w:rsidR="00C36C77" w:rsidRPr="00C36C77" w:rsidRDefault="00C36C77" w:rsidP="00C36C77">
            <w:pPr>
              <w:jc w:val="center"/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  <w:t>b</w:t>
            </w:r>
          </w:p>
        </w:tc>
      </w:tr>
      <w:tr w:rsidR="00C36C77" w:rsidRPr="00C36C77" w14:paraId="701023D8" w14:textId="77777777" w:rsidTr="00C36C77">
        <w:trPr>
          <w:trHeight w:val="270"/>
        </w:trPr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AFD0"/>
            <w:vAlign w:val="center"/>
            <w:hideMark/>
          </w:tcPr>
          <w:p w14:paraId="7298A763" w14:textId="77777777" w:rsidR="00C36C77" w:rsidRPr="00C36C77" w:rsidRDefault="00C36C77" w:rsidP="00C36C77">
            <w:pPr>
              <w:jc w:val="center"/>
              <w:rPr>
                <w:rFonts w:ascii="UniCredit" w:eastAsia="Times New Roman" w:hAnsi="UniCredit" w:cs="Arial"/>
                <w:i/>
                <w:iCs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i/>
                <w:iCs/>
                <w:color w:val="FFFFFF"/>
                <w:szCs w:val="20"/>
                <w:lang w:val="en-US"/>
              </w:rPr>
              <w:t>(</w:t>
            </w:r>
            <w:proofErr w:type="spellStart"/>
            <w:r w:rsidRPr="00C36C77">
              <w:rPr>
                <w:rFonts w:ascii="UniCredit" w:eastAsia="Times New Roman" w:hAnsi="UniCredit" w:cs="Arial"/>
                <w:i/>
                <w:iCs/>
                <w:color w:val="FFFFFF"/>
                <w:szCs w:val="20"/>
                <w:lang w:val="en-US"/>
              </w:rPr>
              <w:t>millió</w:t>
            </w:r>
            <w:proofErr w:type="spellEnd"/>
            <w:r w:rsidRPr="00C36C77">
              <w:rPr>
                <w:rFonts w:ascii="UniCredit" w:eastAsia="Times New Roman" w:hAnsi="UniCredit" w:cs="Arial"/>
                <w:i/>
                <w:iCs/>
                <w:color w:val="FFFFFF"/>
                <w:szCs w:val="20"/>
                <w:lang w:val="en-US"/>
              </w:rPr>
              <w:t xml:space="preserve"> Ft)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655A661E" w14:textId="77777777" w:rsidR="00C36C77" w:rsidRPr="00C36C77" w:rsidRDefault="00C36C77" w:rsidP="00C36C77">
            <w:pPr>
              <w:jc w:val="center"/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</w:pPr>
            <w:proofErr w:type="spellStart"/>
            <w:r w:rsidRPr="00C36C77"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  <w:t>Kitettségérték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580C6F21" w14:textId="77777777" w:rsidR="00C36C77" w:rsidRPr="00C36C77" w:rsidRDefault="00C36C77" w:rsidP="00C36C77">
            <w:pPr>
              <w:jc w:val="center"/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b/>
                <w:bCs/>
                <w:color w:val="FFFFFF"/>
                <w:szCs w:val="20"/>
                <w:lang w:val="en-US"/>
              </w:rPr>
              <w:t>RWA-k</w:t>
            </w:r>
          </w:p>
        </w:tc>
      </w:tr>
      <w:tr w:rsidR="00C36C77" w:rsidRPr="00C36C77" w14:paraId="31140235" w14:textId="77777777" w:rsidTr="00C36C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363C1406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39D8FC14" w14:textId="77777777" w:rsidR="00C36C77" w:rsidRPr="00C36C77" w:rsidRDefault="00C36C77" w:rsidP="00C36C77">
            <w:pPr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A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fejlett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módszer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hatálya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alá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tartozó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teljes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portfóliók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5332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8D63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</w:tr>
      <w:tr w:rsidR="00C36C77" w:rsidRPr="00C36C77" w14:paraId="55305CFF" w14:textId="77777777" w:rsidTr="00C36C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67A56CAA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5046A58D" w14:textId="77777777" w:rsidR="00C36C77" w:rsidRPr="00C36C77" w:rsidRDefault="00C36C77" w:rsidP="00C36C77">
            <w:pPr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i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.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VaR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elem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(a 3x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szorzóval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együtt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49EC5D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72F7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</w:tr>
      <w:tr w:rsidR="00C36C77" w:rsidRPr="00C36C77" w14:paraId="49182E69" w14:textId="77777777" w:rsidTr="00C36C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3B6C98B9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noWrap/>
            <w:vAlign w:val="center"/>
            <w:hideMark/>
          </w:tcPr>
          <w:p w14:paraId="502BD53C" w14:textId="77777777" w:rsidR="00C36C77" w:rsidRPr="00C36C77" w:rsidRDefault="00C36C77" w:rsidP="00C36C77">
            <w:pPr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ii.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SVaR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elem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(a 3x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szorzóval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együtt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A04B72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166C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</w:tr>
      <w:tr w:rsidR="00C36C77" w:rsidRPr="00C36C77" w14:paraId="496DAB7A" w14:textId="77777777" w:rsidTr="00C36C7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3FB951AE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437F4A64" w14:textId="77777777" w:rsidR="00C36C77" w:rsidRPr="00C36C77" w:rsidRDefault="00C36C77" w:rsidP="00C36C77">
            <w:pPr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A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sztenderd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módszer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hatálya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alá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tartozó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összes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portfólió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B16D" w14:textId="505F21D9" w:rsidR="00C36C77" w:rsidRPr="00C36C77" w:rsidRDefault="00C24792" w:rsidP="00C36C77">
            <w:pPr>
              <w:jc w:val="center"/>
              <w:rPr>
                <w:rFonts w:ascii="UniCredit" w:eastAsia="Times New Roman" w:hAnsi="UniCredit" w:cs="Arial"/>
                <w:szCs w:val="20"/>
                <w:lang w:val="en-US"/>
              </w:rPr>
            </w:pPr>
            <w:r>
              <w:rPr>
                <w:rFonts w:ascii="UniCredit" w:eastAsia="Times New Roman" w:hAnsi="UniCredit" w:cs="Arial"/>
                <w:szCs w:val="20"/>
                <w:lang w:val="en-US"/>
              </w:rPr>
              <w:t>17 468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66EF" w14:textId="6CA260EA" w:rsidR="00C36C77" w:rsidRPr="00C36C77" w:rsidRDefault="00C24792" w:rsidP="00C36C77">
            <w:pPr>
              <w:jc w:val="center"/>
              <w:rPr>
                <w:rFonts w:ascii="UniCredit" w:eastAsia="Times New Roman" w:hAnsi="UniCredit" w:cs="Arial"/>
                <w:szCs w:val="20"/>
                <w:lang w:val="en-US"/>
              </w:rPr>
            </w:pPr>
            <w:r>
              <w:rPr>
                <w:rFonts w:ascii="UniCredit" w:eastAsia="Times New Roman" w:hAnsi="UniCredit" w:cs="Arial"/>
                <w:szCs w:val="20"/>
                <w:lang w:val="en-US"/>
              </w:rPr>
              <w:t>866</w:t>
            </w:r>
          </w:p>
        </w:tc>
      </w:tr>
      <w:tr w:rsidR="00C36C77" w:rsidRPr="00C36C77" w14:paraId="52CAC2DA" w14:textId="77777777" w:rsidTr="00C36C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0F583A32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EU4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46BD3F98" w14:textId="77777777" w:rsidR="00C36C77" w:rsidRPr="00C36C77" w:rsidRDefault="00C36C77" w:rsidP="00C36C77">
            <w:pPr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Az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eredeti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kitettség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módszere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alapján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833B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668C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szCs w:val="20"/>
                <w:lang w:val="en-US"/>
              </w:rPr>
              <w:t>0</w:t>
            </w:r>
          </w:p>
        </w:tc>
      </w:tr>
      <w:tr w:rsidR="00C36C77" w:rsidRPr="00C36C77" w14:paraId="5890357B" w14:textId="77777777" w:rsidTr="00C36C7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47A215AA" w14:textId="77777777" w:rsidR="00C36C77" w:rsidRPr="00C36C77" w:rsidRDefault="00C36C77" w:rsidP="00C36C77">
            <w:pPr>
              <w:jc w:val="right"/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3025E6E3" w14:textId="77777777" w:rsidR="00C36C77" w:rsidRPr="00C36C77" w:rsidRDefault="00C36C77" w:rsidP="00C36C77">
            <w:pPr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</w:pPr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A CVA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tőkekövetelmény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hatálya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alá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tartozó</w:t>
            </w:r>
            <w:proofErr w:type="spellEnd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 xml:space="preserve"> </w:t>
            </w:r>
            <w:proofErr w:type="spellStart"/>
            <w:r w:rsidRPr="00C36C77">
              <w:rPr>
                <w:rFonts w:ascii="UniCredit" w:eastAsia="Times New Roman" w:hAnsi="UniCredit" w:cs="Arial"/>
                <w:color w:val="FFFFFF"/>
                <w:szCs w:val="20"/>
                <w:lang w:val="en-US"/>
              </w:rPr>
              <w:t>összesen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5AEC" w14:textId="2C6CDE1B" w:rsidR="00C36C77" w:rsidRPr="00C36C77" w:rsidRDefault="00C24792" w:rsidP="00C36C77">
            <w:pPr>
              <w:jc w:val="center"/>
              <w:rPr>
                <w:rFonts w:ascii="UniCredit" w:eastAsia="Times New Roman" w:hAnsi="UniCredit" w:cs="Arial"/>
                <w:b/>
                <w:bCs/>
                <w:szCs w:val="20"/>
                <w:lang w:val="en-US"/>
              </w:rPr>
            </w:pPr>
            <w:r>
              <w:rPr>
                <w:rFonts w:ascii="UniCredit" w:eastAsia="Times New Roman" w:hAnsi="UniCredit" w:cs="Arial"/>
                <w:b/>
                <w:bCs/>
                <w:szCs w:val="20"/>
                <w:lang w:val="en-US"/>
              </w:rPr>
              <w:t>17 468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DC03" w14:textId="67917744" w:rsidR="00C36C77" w:rsidRPr="00C36C77" w:rsidRDefault="00C24792" w:rsidP="00C36C77">
            <w:pPr>
              <w:jc w:val="center"/>
              <w:rPr>
                <w:rFonts w:ascii="UniCredit" w:eastAsia="Times New Roman" w:hAnsi="UniCredit" w:cs="Arial"/>
                <w:b/>
                <w:bCs/>
                <w:szCs w:val="20"/>
                <w:lang w:val="en-US"/>
              </w:rPr>
            </w:pPr>
            <w:r>
              <w:rPr>
                <w:rFonts w:ascii="UniCredit" w:eastAsia="Times New Roman" w:hAnsi="UniCredit" w:cs="Arial"/>
                <w:b/>
                <w:bCs/>
                <w:szCs w:val="20"/>
                <w:lang w:val="en-US"/>
              </w:rPr>
              <w:t>866</w:t>
            </w:r>
          </w:p>
        </w:tc>
      </w:tr>
    </w:tbl>
    <w:p w14:paraId="2F609A15" w14:textId="77777777" w:rsidR="00C36C77" w:rsidRDefault="00C36C77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2803EEC6" w14:textId="77777777" w:rsidR="003E0CA2" w:rsidRPr="00196F71" w:rsidRDefault="003E0CA2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9" w:name="_Toc48209102"/>
      <w:r w:rsidRPr="00196F71">
        <w:rPr>
          <w:rFonts w:ascii="UniCredit" w:hAnsi="UniCredit"/>
          <w:b/>
          <w:sz w:val="20"/>
          <w:szCs w:val="20"/>
          <w:lang w:val="hu-HU"/>
        </w:rPr>
        <w:t>EU CCR3 – Sztenderd módszer – Partnerkockázati kitettségek szabályozási portfólió és kockázat szerint, millió Ft</w:t>
      </w:r>
      <w:bookmarkEnd w:id="9"/>
    </w:p>
    <w:p w14:paraId="39EBDEEC" w14:textId="77777777" w:rsidR="008C70AE" w:rsidRDefault="008C70AE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1E157063" w14:textId="77777777" w:rsidR="00196F71" w:rsidRDefault="00DF3984" w:rsidP="00D80916">
      <w:pPr>
        <w:spacing w:after="200" w:line="276" w:lineRule="auto"/>
        <w:rPr>
          <w:rFonts w:ascii="UniCredit" w:hAnsi="UniCredit"/>
          <w:b/>
          <w:lang w:val="hu-HU"/>
        </w:rPr>
      </w:pPr>
      <w:r w:rsidRPr="00DF3984">
        <w:rPr>
          <w:noProof/>
          <w:lang w:val="en-US"/>
        </w:rPr>
        <w:drawing>
          <wp:inline distT="0" distB="0" distL="0" distR="0" wp14:anchorId="395EDF03" wp14:editId="079E473E">
            <wp:extent cx="5760085" cy="1578996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7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319A" w14:textId="47D30F7A" w:rsidR="00E35907" w:rsidRDefault="00E35907">
      <w:pPr>
        <w:spacing w:after="200" w:line="276" w:lineRule="auto"/>
        <w:rPr>
          <w:rFonts w:ascii="UniCredit" w:hAnsi="UniCredit"/>
          <w:b/>
          <w:lang w:val="hu-HU"/>
        </w:rPr>
      </w:pPr>
      <w:r>
        <w:rPr>
          <w:rFonts w:ascii="UniCredit" w:hAnsi="UniCredit"/>
          <w:b/>
          <w:lang w:val="hu-HU"/>
        </w:rPr>
        <w:br w:type="page"/>
      </w:r>
    </w:p>
    <w:p w14:paraId="0705844E" w14:textId="77777777" w:rsidR="00196F71" w:rsidRDefault="00196F71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54FCA547" w14:textId="77777777" w:rsidR="003E0CA2" w:rsidRDefault="008B4AC8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0" w:name="_Toc48209103"/>
      <w:r w:rsidRPr="00196F71">
        <w:rPr>
          <w:rFonts w:ascii="UniCredit" w:hAnsi="UniCredit"/>
          <w:b/>
          <w:sz w:val="20"/>
          <w:szCs w:val="20"/>
          <w:lang w:val="hu-HU"/>
        </w:rPr>
        <w:t>EU CCR4 – IRB-módszer – Partnerkockázati kitettségek szabályozási portfólió és PD-sáv szerint</w:t>
      </w:r>
      <w:bookmarkEnd w:id="10"/>
    </w:p>
    <w:p w14:paraId="7B5D87CE" w14:textId="77777777" w:rsidR="00196F71" w:rsidRDefault="00196F71" w:rsidP="00196F71">
      <w:pPr>
        <w:rPr>
          <w:lang w:val="hu-HU"/>
        </w:rPr>
      </w:pPr>
    </w:p>
    <w:p w14:paraId="4E2FE312" w14:textId="348C19A3" w:rsidR="00197399" w:rsidRDefault="00197399" w:rsidP="00196F71">
      <w:pPr>
        <w:rPr>
          <w:lang w:val="hu-HU"/>
        </w:rPr>
      </w:pPr>
    </w:p>
    <w:p w14:paraId="1E26FF7C" w14:textId="77777777" w:rsidR="00197399" w:rsidRPr="00196F71" w:rsidRDefault="00197399" w:rsidP="00196F71">
      <w:pPr>
        <w:rPr>
          <w:lang w:val="hu-HU"/>
        </w:rPr>
      </w:pPr>
    </w:p>
    <w:p w14:paraId="5923F8A2" w14:textId="4C89AFC7" w:rsidR="00E35907" w:rsidRDefault="000713CE" w:rsidP="00D80916">
      <w:pPr>
        <w:spacing w:after="200" w:line="276" w:lineRule="auto"/>
        <w:rPr>
          <w:rFonts w:ascii="UniCredit" w:hAnsi="UniCredit"/>
          <w:b/>
          <w:lang w:val="hu-HU"/>
        </w:rPr>
      </w:pPr>
      <w:r w:rsidRPr="000713CE">
        <w:rPr>
          <w:noProof/>
          <w:lang w:val="en-US"/>
        </w:rPr>
        <w:drawing>
          <wp:inline distT="0" distB="0" distL="0" distR="0" wp14:anchorId="354C63BB" wp14:editId="4E9ABB33">
            <wp:extent cx="5760085" cy="4244769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4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4A25" w14:textId="77777777" w:rsidR="00E35907" w:rsidRDefault="00E35907">
      <w:pPr>
        <w:spacing w:after="200" w:line="276" w:lineRule="auto"/>
        <w:rPr>
          <w:rFonts w:ascii="UniCredit" w:hAnsi="UniCredit"/>
          <w:b/>
          <w:lang w:val="hu-HU"/>
        </w:rPr>
      </w:pPr>
      <w:r>
        <w:rPr>
          <w:rFonts w:ascii="UniCredit" w:hAnsi="UniCredit"/>
          <w:b/>
          <w:lang w:val="hu-HU"/>
        </w:rPr>
        <w:br w:type="page"/>
      </w:r>
    </w:p>
    <w:p w14:paraId="2309DDAB" w14:textId="77777777" w:rsidR="00C65CF9" w:rsidRDefault="00C65CF9" w:rsidP="00D80916">
      <w:pPr>
        <w:spacing w:after="200" w:line="276" w:lineRule="auto"/>
        <w:rPr>
          <w:rFonts w:ascii="UniCredit" w:hAnsi="UniCredit"/>
          <w:b/>
          <w:lang w:val="hu-HU"/>
        </w:rPr>
      </w:pPr>
    </w:p>
    <w:p w14:paraId="54064EB8" w14:textId="77777777" w:rsidR="00C65CF9" w:rsidRPr="00196F71" w:rsidRDefault="00A313F4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1" w:name="_Toc13049481"/>
      <w:bookmarkStart w:id="12" w:name="_Toc48209104"/>
      <w:r>
        <w:rPr>
          <w:rFonts w:ascii="UniCredit" w:hAnsi="UniCredit"/>
          <w:b/>
          <w:sz w:val="20"/>
          <w:szCs w:val="20"/>
          <w:lang w:val="hu-HU"/>
        </w:rPr>
        <w:t xml:space="preserve">CCR8 - </w:t>
      </w:r>
      <w:r w:rsidR="00C65CF9" w:rsidRPr="00196F71">
        <w:rPr>
          <w:rFonts w:ascii="UniCredit" w:hAnsi="UniCredit"/>
          <w:b/>
          <w:sz w:val="20"/>
          <w:szCs w:val="20"/>
          <w:lang w:val="hu-HU"/>
        </w:rPr>
        <w:t>Központi szerződő felekkel szembeni kitettségek</w:t>
      </w:r>
      <w:bookmarkEnd w:id="11"/>
      <w:bookmarkEnd w:id="12"/>
      <w:r w:rsidR="00263DF1" w:rsidRPr="00196F71">
        <w:rPr>
          <w:rFonts w:ascii="UniCredit" w:hAnsi="UniCredit"/>
          <w:b/>
          <w:sz w:val="20"/>
          <w:szCs w:val="20"/>
          <w:lang w:val="hu-HU"/>
        </w:rPr>
        <w:t xml:space="preserve"> </w:t>
      </w:r>
    </w:p>
    <w:p w14:paraId="1106C9F4" w14:textId="66C1925F" w:rsidR="00D41166" w:rsidRDefault="00D41166" w:rsidP="00D41166">
      <w:pPr>
        <w:rPr>
          <w:lang w:val="hu-HU"/>
        </w:rPr>
      </w:pPr>
    </w:p>
    <w:p w14:paraId="4C7E58B3" w14:textId="77777777" w:rsidR="00C55CA3" w:rsidRPr="00C55CA3" w:rsidRDefault="00C55CA3" w:rsidP="00C55CA3">
      <w:pPr>
        <w:rPr>
          <w:lang w:val="hu-HU"/>
        </w:rPr>
      </w:pPr>
    </w:p>
    <w:p w14:paraId="261DBAAC" w14:textId="77777777" w:rsidR="003E0CA2" w:rsidRDefault="000F55EC" w:rsidP="00D80916">
      <w:pPr>
        <w:spacing w:after="200" w:line="276" w:lineRule="auto"/>
        <w:rPr>
          <w:rFonts w:ascii="UniCredit" w:hAnsi="UniCredit"/>
          <w:b/>
          <w:lang w:val="hu-HU"/>
        </w:rPr>
      </w:pPr>
      <w:r w:rsidRPr="000F55EC">
        <w:rPr>
          <w:noProof/>
          <w:lang w:val="en-US"/>
        </w:rPr>
        <w:drawing>
          <wp:inline distT="0" distB="0" distL="0" distR="0" wp14:anchorId="24EDCF49" wp14:editId="5235E6E1">
            <wp:extent cx="4572000" cy="58521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24AF" w14:textId="77777777" w:rsidR="00BB63C7" w:rsidRPr="00196F71" w:rsidRDefault="00BB63C7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3" w:name="_Toc48209105"/>
      <w:r w:rsidRPr="00196F71">
        <w:rPr>
          <w:rFonts w:ascii="UniCredit" w:hAnsi="UniCredit"/>
          <w:b/>
          <w:sz w:val="20"/>
          <w:szCs w:val="20"/>
          <w:lang w:val="hu-HU"/>
        </w:rPr>
        <w:t xml:space="preserve">EU CCR6 – </w:t>
      </w:r>
      <w:proofErr w:type="spellStart"/>
      <w:r w:rsidRPr="00196F71">
        <w:rPr>
          <w:rFonts w:ascii="UniCredit" w:hAnsi="UniCredit"/>
          <w:b/>
          <w:sz w:val="20"/>
          <w:szCs w:val="20"/>
          <w:lang w:val="hu-HU"/>
        </w:rPr>
        <w:t>Hitelderivatíva</w:t>
      </w:r>
      <w:proofErr w:type="spellEnd"/>
      <w:r w:rsidRPr="00196F71">
        <w:rPr>
          <w:rFonts w:ascii="UniCredit" w:hAnsi="UniCredit"/>
          <w:b/>
          <w:sz w:val="20"/>
          <w:szCs w:val="20"/>
          <w:lang w:val="hu-HU"/>
        </w:rPr>
        <w:t>-kitettségek</w:t>
      </w:r>
      <w:bookmarkEnd w:id="13"/>
    </w:p>
    <w:p w14:paraId="577F435C" w14:textId="77777777" w:rsidR="00BB63C7" w:rsidRDefault="00BB63C7" w:rsidP="00BB63C7">
      <w:pPr>
        <w:rPr>
          <w:lang w:val="hu-HU"/>
        </w:rPr>
      </w:pPr>
    </w:p>
    <w:p w14:paraId="48480EF1" w14:textId="67371CC4" w:rsidR="00BB63C7" w:rsidRDefault="00BB63C7" w:rsidP="00BB63C7">
      <w:pPr>
        <w:jc w:val="both"/>
        <w:rPr>
          <w:rFonts w:cs="Arial"/>
          <w:lang w:val="hu-HU"/>
        </w:rPr>
      </w:pPr>
      <w:r w:rsidRPr="00BB63C7">
        <w:rPr>
          <w:rFonts w:cs="Arial"/>
          <w:lang w:val="hu-HU"/>
        </w:rPr>
        <w:t>A Csoport irányelveknek megfelelően a Bank 20</w:t>
      </w:r>
      <w:r w:rsidR="00C24792">
        <w:rPr>
          <w:rFonts w:cs="Arial"/>
          <w:lang w:val="hu-HU"/>
        </w:rPr>
        <w:t>20</w:t>
      </w:r>
      <w:r w:rsidRPr="00BB63C7">
        <w:rPr>
          <w:rFonts w:cs="Arial"/>
          <w:lang w:val="hu-HU"/>
        </w:rPr>
        <w:t xml:space="preserve">. második negyedévében sem rendelkezett </w:t>
      </w:r>
      <w:proofErr w:type="spellStart"/>
      <w:r w:rsidRPr="00BB63C7">
        <w:rPr>
          <w:rFonts w:cs="Arial"/>
          <w:lang w:val="hu-HU"/>
        </w:rPr>
        <w:t>hitelderivatíva</w:t>
      </w:r>
      <w:proofErr w:type="spellEnd"/>
      <w:r w:rsidRPr="00BB63C7">
        <w:rPr>
          <w:rFonts w:cs="Arial"/>
          <w:lang w:val="hu-HU"/>
        </w:rPr>
        <w:t xml:space="preserve"> ügylettel.</w:t>
      </w:r>
    </w:p>
    <w:p w14:paraId="0F720A52" w14:textId="77777777" w:rsidR="005F3449" w:rsidRDefault="005F3449" w:rsidP="00BB63C7">
      <w:pPr>
        <w:jc w:val="both"/>
        <w:rPr>
          <w:rFonts w:cs="Arial"/>
          <w:lang w:val="hu-HU"/>
        </w:rPr>
      </w:pPr>
    </w:p>
    <w:p w14:paraId="2502AC4E" w14:textId="77777777" w:rsidR="005F3449" w:rsidRPr="00196F71" w:rsidRDefault="005F3449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4" w:name="_Toc48209106"/>
      <w:r w:rsidRPr="005F3449">
        <w:rPr>
          <w:rFonts w:ascii="UniCredit" w:hAnsi="UniCredit"/>
          <w:b/>
          <w:sz w:val="20"/>
          <w:szCs w:val="20"/>
          <w:lang w:val="hu-HU"/>
        </w:rPr>
        <w:t>EU CCR7 – A belső modell módszer (IMM) alá tartozó partnerkockázati kitettségekhez kapcsolódó RWA-k változásainak bemutatása</w:t>
      </w:r>
      <w:bookmarkEnd w:id="14"/>
    </w:p>
    <w:p w14:paraId="7298EEDF" w14:textId="77777777" w:rsidR="00BB63C7" w:rsidRDefault="00BB63C7" w:rsidP="00BB63C7">
      <w:pPr>
        <w:rPr>
          <w:lang w:val="hu-HU"/>
        </w:rPr>
      </w:pPr>
    </w:p>
    <w:p w14:paraId="7010C63D" w14:textId="48576F4F" w:rsidR="005F3449" w:rsidRDefault="005F3449" w:rsidP="005F3449">
      <w:pPr>
        <w:jc w:val="both"/>
        <w:rPr>
          <w:lang w:val="hu-HU"/>
        </w:rPr>
      </w:pPr>
      <w:r w:rsidRPr="00BB63C7">
        <w:rPr>
          <w:rFonts w:cs="Arial"/>
          <w:lang w:val="hu-HU"/>
        </w:rPr>
        <w:t>A Bank 20</w:t>
      </w:r>
      <w:r w:rsidR="00C24792">
        <w:rPr>
          <w:rFonts w:cs="Arial"/>
          <w:lang w:val="hu-HU"/>
        </w:rPr>
        <w:t>20</w:t>
      </w:r>
      <w:r w:rsidRPr="00BB63C7">
        <w:rPr>
          <w:rFonts w:cs="Arial"/>
          <w:lang w:val="hu-HU"/>
        </w:rPr>
        <w:t xml:space="preserve">. második negyedévében sem </w:t>
      </w:r>
      <w:r>
        <w:rPr>
          <w:rFonts w:cs="Arial"/>
          <w:lang w:val="hu-HU"/>
        </w:rPr>
        <w:t>alkalmazta a</w:t>
      </w:r>
      <w:r w:rsidRPr="005F3449">
        <w:rPr>
          <w:rFonts w:cs="Arial"/>
          <w:lang w:val="hu-HU"/>
        </w:rPr>
        <w:t xml:space="preserve"> belső modell módszer</w:t>
      </w:r>
      <w:r>
        <w:rPr>
          <w:rFonts w:cs="Arial"/>
          <w:lang w:val="hu-HU"/>
        </w:rPr>
        <w:t>t</w:t>
      </w:r>
      <w:r w:rsidRPr="005F3449">
        <w:rPr>
          <w:rFonts w:cs="Arial"/>
          <w:lang w:val="hu-HU"/>
        </w:rPr>
        <w:t xml:space="preserve"> (IMM) </w:t>
      </w:r>
      <w:r>
        <w:rPr>
          <w:rFonts w:cs="Arial"/>
          <w:lang w:val="hu-HU"/>
        </w:rPr>
        <w:t xml:space="preserve">a </w:t>
      </w:r>
      <w:r w:rsidRPr="005F3449">
        <w:rPr>
          <w:rFonts w:cs="Arial"/>
          <w:lang w:val="hu-HU"/>
        </w:rPr>
        <w:t xml:space="preserve"> partnerkockázati kitettségekhez kapcsolód</w:t>
      </w:r>
      <w:r>
        <w:rPr>
          <w:rFonts w:cs="Arial"/>
          <w:lang w:val="hu-HU"/>
        </w:rPr>
        <w:t>ó RWA-k változásainak bemutatására.</w:t>
      </w:r>
    </w:p>
    <w:p w14:paraId="4E91FB49" w14:textId="77777777" w:rsidR="005F3449" w:rsidRDefault="005F3449" w:rsidP="00BB63C7">
      <w:pPr>
        <w:rPr>
          <w:lang w:val="hu-HU"/>
        </w:rPr>
      </w:pPr>
    </w:p>
    <w:p w14:paraId="5161F35D" w14:textId="77777777" w:rsidR="00196F71" w:rsidRDefault="00196F71" w:rsidP="00BB63C7">
      <w:pPr>
        <w:rPr>
          <w:lang w:val="hu-HU"/>
        </w:rPr>
      </w:pPr>
    </w:p>
    <w:p w14:paraId="35C21A71" w14:textId="77777777" w:rsidR="00196F71" w:rsidRDefault="00196F71" w:rsidP="00BB63C7">
      <w:pPr>
        <w:rPr>
          <w:lang w:val="hu-HU"/>
        </w:rPr>
      </w:pPr>
    </w:p>
    <w:p w14:paraId="727D2ADA" w14:textId="77777777" w:rsidR="00196F71" w:rsidRDefault="00196F71" w:rsidP="00BB63C7">
      <w:pPr>
        <w:rPr>
          <w:lang w:val="hu-HU"/>
        </w:rPr>
      </w:pPr>
    </w:p>
    <w:p w14:paraId="46E1EA2D" w14:textId="77777777" w:rsidR="00196F71" w:rsidRDefault="00196F71" w:rsidP="00BB63C7">
      <w:pPr>
        <w:rPr>
          <w:lang w:val="hu-HU"/>
        </w:rPr>
      </w:pPr>
    </w:p>
    <w:p w14:paraId="63E19949" w14:textId="77777777" w:rsidR="00196F71" w:rsidRDefault="00196F71" w:rsidP="00BB63C7">
      <w:pPr>
        <w:rPr>
          <w:lang w:val="hu-HU"/>
        </w:rPr>
      </w:pPr>
    </w:p>
    <w:p w14:paraId="60C276A9" w14:textId="77777777" w:rsidR="00AF41A5" w:rsidRDefault="00AF41A5" w:rsidP="00BB63C7">
      <w:pPr>
        <w:rPr>
          <w:lang w:val="hu-HU"/>
        </w:rPr>
      </w:pPr>
    </w:p>
    <w:p w14:paraId="1F4F15E0" w14:textId="77777777" w:rsidR="008B7B74" w:rsidRDefault="008B7B74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5" w:name="_Toc48209107"/>
      <w:r w:rsidRPr="00196F71">
        <w:rPr>
          <w:rFonts w:ascii="UniCredit" w:hAnsi="UniCredit"/>
          <w:b/>
          <w:sz w:val="20"/>
          <w:szCs w:val="20"/>
          <w:lang w:val="hu-HU"/>
        </w:rPr>
        <w:t>EU CR1-A – A kitettségek hitelminősége kitettségi osztályok és instrumentumok szerinti bontásban</w:t>
      </w:r>
      <w:bookmarkEnd w:id="15"/>
    </w:p>
    <w:p w14:paraId="3806FC1B" w14:textId="5D55F6F3" w:rsidR="00196F71" w:rsidRDefault="00196F71" w:rsidP="00196F71">
      <w:pPr>
        <w:rPr>
          <w:lang w:val="hu-HU"/>
        </w:rPr>
      </w:pPr>
    </w:p>
    <w:p w14:paraId="7F026774" w14:textId="77777777" w:rsidR="00197399" w:rsidRPr="00196F71" w:rsidRDefault="00197399" w:rsidP="00196F71">
      <w:pPr>
        <w:rPr>
          <w:lang w:val="hu-HU"/>
        </w:rPr>
      </w:pPr>
    </w:p>
    <w:p w14:paraId="1A47D091" w14:textId="77777777" w:rsidR="00EF26D8" w:rsidRDefault="00396DCE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396DCE">
        <w:rPr>
          <w:noProof/>
          <w:lang w:val="en-US"/>
        </w:rPr>
        <w:drawing>
          <wp:inline distT="0" distB="0" distL="0" distR="0" wp14:anchorId="649111A4" wp14:editId="2C5EA7FB">
            <wp:extent cx="5760085" cy="4018763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9153B" w14:textId="77777777" w:rsidR="00396DCE" w:rsidRDefault="00396DCE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6D504801" w14:textId="77777777" w:rsidR="00545D1A" w:rsidRPr="00196F71" w:rsidRDefault="00545D1A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6" w:name="_Toc48209108"/>
      <w:r w:rsidRPr="00196F71">
        <w:rPr>
          <w:rFonts w:ascii="UniCredit" w:hAnsi="UniCredit"/>
          <w:b/>
          <w:sz w:val="20"/>
          <w:szCs w:val="20"/>
          <w:lang w:val="hu-HU"/>
        </w:rPr>
        <w:t>CR1-B Kitettségek gazdasági ágazatok szerinti bontásban</w:t>
      </w:r>
      <w:bookmarkEnd w:id="16"/>
    </w:p>
    <w:p w14:paraId="3BE74AD2" w14:textId="032D82CA" w:rsidR="00545D1A" w:rsidRDefault="00545D1A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32E28E4" w14:textId="77777777" w:rsidR="00197399" w:rsidRDefault="00197399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CE37B10" w14:textId="77777777" w:rsidR="00545D1A" w:rsidRDefault="00545D1A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DF4CC30" w14:textId="77777777" w:rsidR="00EF26D8" w:rsidRDefault="00396DCE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396DCE">
        <w:rPr>
          <w:noProof/>
          <w:lang w:val="en-US"/>
        </w:rPr>
        <w:drawing>
          <wp:inline distT="0" distB="0" distL="0" distR="0" wp14:anchorId="3BCF8C64" wp14:editId="2449B2D8">
            <wp:extent cx="5760085" cy="268524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A09D5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A67F34A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0ED3F98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8AD6F4D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093C8F2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090BC04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B899F99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9BC88A0" w14:textId="77777777" w:rsidR="00EF26D8" w:rsidRPr="00196F71" w:rsidRDefault="00EF26D8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7" w:name="_Toc48209109"/>
      <w:r w:rsidRPr="00196F71">
        <w:rPr>
          <w:rFonts w:ascii="UniCredit" w:hAnsi="UniCredit"/>
          <w:b/>
          <w:sz w:val="20"/>
          <w:szCs w:val="20"/>
          <w:lang w:val="hu-HU"/>
        </w:rPr>
        <w:t>EU CR1-C – A kitettségek hitelminősége földrajzi bontásban</w:t>
      </w:r>
      <w:bookmarkEnd w:id="17"/>
    </w:p>
    <w:p w14:paraId="40D22603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9090A4B" w14:textId="126B2492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ADCCAD8" w14:textId="77777777" w:rsidR="0029130D" w:rsidRDefault="0029130D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35E9404" w14:textId="77777777" w:rsidR="000C79CC" w:rsidRDefault="000C79C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0C79CC">
        <w:rPr>
          <w:noProof/>
          <w:lang w:val="en-US"/>
        </w:rPr>
        <w:drawing>
          <wp:inline distT="0" distB="0" distL="0" distR="0" wp14:anchorId="19EF2044" wp14:editId="05B5A321">
            <wp:extent cx="5760085" cy="27463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253C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FDE4915" w14:textId="77777777" w:rsidR="00DE227C" w:rsidRDefault="00DE227C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8" w:name="_Toc48209110"/>
      <w:r w:rsidRPr="00196F71">
        <w:rPr>
          <w:rFonts w:ascii="UniCredit" w:hAnsi="UniCredit"/>
          <w:b/>
          <w:sz w:val="20"/>
          <w:szCs w:val="20"/>
          <w:lang w:val="hu-HU"/>
        </w:rPr>
        <w:t>EU - CR1D - A késedelmi kitettségek korosodása (millió forintban)</w:t>
      </w:r>
      <w:bookmarkEnd w:id="18"/>
    </w:p>
    <w:p w14:paraId="6DA6A61C" w14:textId="77777777" w:rsidR="00197399" w:rsidRPr="00197399" w:rsidRDefault="00197399" w:rsidP="00197399">
      <w:pPr>
        <w:rPr>
          <w:lang w:val="hu-HU"/>
        </w:rPr>
      </w:pPr>
    </w:p>
    <w:p w14:paraId="2D3F6733" w14:textId="3FA2B146" w:rsidR="00DE227C" w:rsidRDefault="00DE227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466E013" w14:textId="77777777" w:rsidR="00197399" w:rsidRDefault="00197399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9AF1CDC" w14:textId="77777777" w:rsidR="00DE227C" w:rsidRDefault="000C79C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0C79CC">
        <w:rPr>
          <w:noProof/>
          <w:lang w:val="en-US"/>
        </w:rPr>
        <w:drawing>
          <wp:inline distT="0" distB="0" distL="0" distR="0" wp14:anchorId="2E04243E" wp14:editId="6FEF2DA5">
            <wp:extent cx="5760085" cy="7460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E363" w14:textId="77777777" w:rsidR="000C79CC" w:rsidRDefault="000C79C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A0A2109" w14:textId="77777777" w:rsidR="00DE227C" w:rsidRPr="00196F71" w:rsidRDefault="00DE227C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19" w:name="_Toc48209111"/>
      <w:r w:rsidRPr="00196F71">
        <w:rPr>
          <w:rFonts w:ascii="UniCredit" w:hAnsi="UniCredit"/>
          <w:b/>
          <w:sz w:val="20"/>
          <w:szCs w:val="20"/>
          <w:lang w:val="hu-HU"/>
        </w:rPr>
        <w:t>EU CR1-E – Nemteljesítő (non-</w:t>
      </w:r>
      <w:proofErr w:type="spellStart"/>
      <w:r w:rsidRPr="00196F71">
        <w:rPr>
          <w:rFonts w:ascii="UniCredit" w:hAnsi="UniCredit"/>
          <w:b/>
          <w:sz w:val="20"/>
          <w:szCs w:val="20"/>
          <w:lang w:val="hu-HU"/>
        </w:rPr>
        <w:t>performing</w:t>
      </w:r>
      <w:proofErr w:type="spellEnd"/>
      <w:r w:rsidRPr="00196F71">
        <w:rPr>
          <w:rFonts w:ascii="UniCredit" w:hAnsi="UniCredit"/>
          <w:b/>
          <w:sz w:val="20"/>
          <w:szCs w:val="20"/>
          <w:lang w:val="hu-HU"/>
        </w:rPr>
        <w:t>) és átstrukturált kitettségek (millió forintban)</w:t>
      </w:r>
      <w:bookmarkEnd w:id="19"/>
    </w:p>
    <w:p w14:paraId="61A22877" w14:textId="77777777" w:rsidR="00DE227C" w:rsidRDefault="00DE227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4F74109" w14:textId="0FBB2B33" w:rsidR="00197399" w:rsidRDefault="00197399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C86CE03" w14:textId="77777777" w:rsidR="00197399" w:rsidRDefault="00197399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A9A1778" w14:textId="77777777" w:rsidR="00DE227C" w:rsidRDefault="00DE227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48309EC" w14:textId="27BD163F" w:rsidR="00DE227C" w:rsidRDefault="00DE227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2206678" w14:textId="77777777" w:rsidR="00DE227C" w:rsidRDefault="00DE227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007EB3A" w14:textId="77777777" w:rsidR="000C79CC" w:rsidRDefault="000C79C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0C79CC">
        <w:rPr>
          <w:noProof/>
          <w:lang w:val="en-US"/>
        </w:rPr>
        <w:drawing>
          <wp:inline distT="0" distB="0" distL="0" distR="0" wp14:anchorId="299A5FB0" wp14:editId="22559A9D">
            <wp:extent cx="5760085" cy="1000764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DD8D" w14:textId="77777777" w:rsidR="000C79CC" w:rsidRDefault="000C79C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65B16A8" w14:textId="77777777" w:rsidR="000C79CC" w:rsidRDefault="000C79C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0C79CC">
        <w:rPr>
          <w:noProof/>
          <w:lang w:val="en-US"/>
        </w:rPr>
        <w:lastRenderedPageBreak/>
        <w:drawing>
          <wp:inline distT="0" distB="0" distL="0" distR="0" wp14:anchorId="49192AF0" wp14:editId="659111FA">
            <wp:extent cx="3734965" cy="1063487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51" cy="108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F9DB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1FE23B2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DAC350A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27B7E25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6A35685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33AD035" w14:textId="77777777" w:rsidR="00DE227C" w:rsidRDefault="00DE227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2525B51" w14:textId="77777777" w:rsidR="00894E4C" w:rsidRPr="00E35907" w:rsidRDefault="00894E4C" w:rsidP="00894E4C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0" w:name="_Toc48209112"/>
      <w:r w:rsidRPr="00E35907">
        <w:rPr>
          <w:rFonts w:ascii="UniCredit" w:hAnsi="UniCredit"/>
          <w:b/>
          <w:sz w:val="20"/>
          <w:szCs w:val="20"/>
          <w:lang w:val="hu-HU"/>
        </w:rPr>
        <w:t>EU CR2-A –Az általános és egyedi hitelkockázati kiigazítások állományának változásai</w:t>
      </w:r>
      <w:bookmarkEnd w:id="20"/>
    </w:p>
    <w:p w14:paraId="6C861900" w14:textId="77777777" w:rsidR="00894E4C" w:rsidRP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tbl>
      <w:tblPr>
        <w:tblW w:w="8414" w:type="dxa"/>
        <w:tblLook w:val="04A0" w:firstRow="1" w:lastRow="0" w:firstColumn="1" w:lastColumn="0" w:noHBand="0" w:noVBand="1"/>
      </w:tblPr>
      <w:tblGrid>
        <w:gridCol w:w="960"/>
        <w:gridCol w:w="4660"/>
        <w:gridCol w:w="1397"/>
        <w:gridCol w:w="1397"/>
      </w:tblGrid>
      <w:tr w:rsidR="00894E4C" w:rsidRPr="00894E4C" w14:paraId="62DE17F1" w14:textId="77777777" w:rsidTr="00D0608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0863" w14:textId="77777777" w:rsidR="00894E4C" w:rsidRPr="00894E4C" w:rsidRDefault="00894E4C" w:rsidP="00894E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3AE" w14:textId="77777777" w:rsidR="00894E4C" w:rsidRPr="00894E4C" w:rsidRDefault="00894E4C" w:rsidP="00894E4C">
            <w:pPr>
              <w:rPr>
                <w:rFonts w:ascii="Times New Roman" w:eastAsia="Times New Roman" w:hAnsi="Times New Roman" w:cs="Times New Roman"/>
                <w:szCs w:val="20"/>
                <w:lang w:val="hu-HU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2B19DB7A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a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1A0592D1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b</w:t>
            </w:r>
          </w:p>
        </w:tc>
      </w:tr>
      <w:tr w:rsidR="00894E4C" w:rsidRPr="00894E4C" w14:paraId="43121096" w14:textId="77777777" w:rsidTr="00D0608D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6558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749" w14:textId="77777777" w:rsidR="00894E4C" w:rsidRPr="00894E4C" w:rsidRDefault="00894E4C" w:rsidP="00894E4C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3E6CB7CD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Halmozott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egyedi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hitelkockázati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kiigazítás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6BD41AB9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Halmozott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általános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hitelkockázati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kiigazítás</w:t>
            </w:r>
            <w:proofErr w:type="spellEnd"/>
          </w:p>
        </w:tc>
      </w:tr>
      <w:tr w:rsidR="00C95FE4" w:rsidRPr="00894E4C" w14:paraId="3F0C8813" w14:textId="77777777" w:rsidTr="00E3590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1B31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6F255" w14:textId="77777777" w:rsidR="00C95FE4" w:rsidRPr="00894E4C" w:rsidRDefault="00C95FE4" w:rsidP="00C95FE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Nyitó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egyenleg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B5DF3" w14:textId="17DA083A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E5B">
              <w:t>-25 988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02085" w14:textId="227A492D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E5B">
              <w:t>-3 845</w:t>
            </w:r>
          </w:p>
        </w:tc>
      </w:tr>
      <w:tr w:rsidR="00C95FE4" w:rsidRPr="00894E4C" w14:paraId="45B6D7FF" w14:textId="77777777" w:rsidTr="00E3590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211C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C11B3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Az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időszak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során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becsült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hitelveszteségekre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félretett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összegek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miatti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növekmények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FFAC2" w14:textId="287165B8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-12 839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3D2B1" w14:textId="21580136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-821</w:t>
            </w:r>
          </w:p>
        </w:tc>
      </w:tr>
      <w:tr w:rsidR="00C95FE4" w:rsidRPr="00894E4C" w14:paraId="6FFAB271" w14:textId="77777777" w:rsidTr="00E3590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29AE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0BC19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Az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időszak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során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becsült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hitelveszteségek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tekintetében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visszaírt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összegek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miatti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csökkenések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CD44A" w14:textId="48334564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9 242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8E01E" w14:textId="71F9DFD2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2 520</w:t>
            </w:r>
          </w:p>
        </w:tc>
      </w:tr>
      <w:tr w:rsidR="00C95FE4" w:rsidRPr="00894E4C" w14:paraId="68EADE48" w14:textId="77777777" w:rsidTr="00E3590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8731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B639B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halmozott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hitelkockázati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kiigazításokkal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szembeni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összegek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miatti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csökkenések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8EE13" w14:textId="1A0C7AF8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234A8" w14:textId="6BD64359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61</w:t>
            </w:r>
          </w:p>
        </w:tc>
      </w:tr>
      <w:tr w:rsidR="00C95FE4" w:rsidRPr="00894E4C" w14:paraId="42C9412C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546A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1B55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hitelkockázati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kiigazítások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közötti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átvezetések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FA67E4" w14:textId="15E2A392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2 425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071C4" w14:textId="32A9E3CB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-2 555</w:t>
            </w:r>
          </w:p>
        </w:tc>
      </w:tr>
      <w:tr w:rsidR="00C95FE4" w:rsidRPr="00894E4C" w14:paraId="05A4E446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0E13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6C79E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Árfolyamkülönbségek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hatása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4D4A3" w14:textId="3A94AEB9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E3BB2" w14:textId="74FFD016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-18</w:t>
            </w:r>
          </w:p>
        </w:tc>
      </w:tr>
      <w:tr w:rsidR="00C95FE4" w:rsidRPr="00894E4C" w14:paraId="4E2BDCF3" w14:textId="77777777" w:rsidTr="00E3590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0548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5694F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Üzleti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kombinációk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ezen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belül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leányvállalatok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felvásárlása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és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elidegenítése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5C07C" w14:textId="14DED6E1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E62526" w14:textId="43E62505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0</w:t>
            </w:r>
          </w:p>
        </w:tc>
      </w:tr>
      <w:tr w:rsidR="00C95FE4" w:rsidRPr="00894E4C" w14:paraId="05CB7857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2E52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5C3AD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Egyéb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kiigazítások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08D0E" w14:textId="6F26FBE4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01753" w14:textId="459A5A2E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408</w:t>
            </w:r>
          </w:p>
        </w:tc>
      </w:tr>
      <w:tr w:rsidR="00C95FE4" w:rsidRPr="00894E4C" w14:paraId="5C9E77EA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4305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C1779" w14:textId="77777777" w:rsidR="00C95FE4" w:rsidRPr="00894E4C" w:rsidRDefault="00C95FE4" w:rsidP="00C95FE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Záró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egyenleg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9=1+2+3+4+5+6+7+8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D2BB6" w14:textId="4D827665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E5B">
              <w:t>-27 778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2CC25" w14:textId="2104D8CF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E5B">
              <w:t>-4 250</w:t>
            </w:r>
          </w:p>
        </w:tc>
      </w:tr>
      <w:tr w:rsidR="00C95FE4" w:rsidRPr="00894E4C" w14:paraId="500BD95B" w14:textId="77777777" w:rsidTr="00E3590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28FE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08213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közvetlenül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az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eredménykimutatásban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megjelenő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hitelkockázati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kiigazításokhoz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kapcsolódó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visszaírások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AD8A9" w14:textId="51FE480D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699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6A95B" w14:textId="231F062C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1 123</w:t>
            </w:r>
          </w:p>
        </w:tc>
      </w:tr>
      <w:tr w:rsidR="00C95FE4" w:rsidRPr="00894E4C" w14:paraId="53519D7D" w14:textId="77777777" w:rsidTr="00E3590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54F8" w14:textId="77777777" w:rsidR="00C95FE4" w:rsidRPr="00894E4C" w:rsidRDefault="00C95FE4" w:rsidP="00C95F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E90EC" w14:textId="77777777" w:rsidR="00C95FE4" w:rsidRPr="00894E4C" w:rsidRDefault="00C95FE4" w:rsidP="00C95F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közvetlenül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az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eredménykimutatásban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megjelenő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egyedi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hitelkockázati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kiigazítások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A9E0E" w14:textId="783C8B97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-405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E3D48" w14:textId="45C4163E" w:rsidR="00C95FE4" w:rsidRPr="00894E4C" w:rsidRDefault="00C95FE4" w:rsidP="00C95F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E5B">
              <w:t>-1 068</w:t>
            </w:r>
          </w:p>
        </w:tc>
      </w:tr>
    </w:tbl>
    <w:p w14:paraId="7D13B64C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8458568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E1BD41B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CA4C3E3" w14:textId="77777777" w:rsidR="00894E4C" w:rsidRPr="00E35907" w:rsidRDefault="00894E4C" w:rsidP="00894E4C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1" w:name="_Toc48209113"/>
      <w:r w:rsidRPr="00E35907">
        <w:rPr>
          <w:rFonts w:ascii="UniCredit" w:hAnsi="UniCredit"/>
          <w:b/>
          <w:sz w:val="20"/>
          <w:szCs w:val="20"/>
          <w:lang w:val="hu-HU"/>
        </w:rPr>
        <w:t>EU CR2-B – A nemteljesítő (</w:t>
      </w:r>
      <w:proofErr w:type="spellStart"/>
      <w:r w:rsidRPr="00E35907">
        <w:rPr>
          <w:rFonts w:ascii="UniCredit" w:hAnsi="UniCredit"/>
          <w:b/>
          <w:sz w:val="20"/>
          <w:szCs w:val="20"/>
          <w:lang w:val="hu-HU"/>
        </w:rPr>
        <w:t>defaulted</w:t>
      </w:r>
      <w:proofErr w:type="spellEnd"/>
      <w:r w:rsidRPr="00E35907">
        <w:rPr>
          <w:rFonts w:ascii="UniCredit" w:hAnsi="UniCredit"/>
          <w:b/>
          <w:sz w:val="20"/>
          <w:szCs w:val="20"/>
          <w:lang w:val="hu-HU"/>
        </w:rPr>
        <w:t>) és értékvesztett hitelek és hitelviszonyt megtestesítő értékpapírok állományának változásai</w:t>
      </w:r>
      <w:bookmarkEnd w:id="21"/>
    </w:p>
    <w:p w14:paraId="47FB9828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960"/>
        <w:gridCol w:w="6000"/>
        <w:gridCol w:w="1500"/>
      </w:tblGrid>
      <w:tr w:rsidR="00894E4C" w:rsidRPr="00894E4C" w14:paraId="391E72D7" w14:textId="77777777" w:rsidTr="00894E4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1551" w14:textId="77777777" w:rsidR="00894E4C" w:rsidRPr="00894E4C" w:rsidRDefault="00894E4C" w:rsidP="00894E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5A5" w14:textId="77777777" w:rsidR="00894E4C" w:rsidRPr="00894E4C" w:rsidRDefault="00894E4C" w:rsidP="00894E4C">
            <w:pPr>
              <w:rPr>
                <w:rFonts w:ascii="Times New Roman" w:eastAsia="Times New Roman" w:hAnsi="Times New Roman" w:cs="Times New Roman"/>
                <w:szCs w:val="20"/>
                <w:lang w:val="hu-HU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7810D73F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a</w:t>
            </w:r>
          </w:p>
        </w:tc>
      </w:tr>
      <w:tr w:rsidR="00894E4C" w:rsidRPr="000C2A10" w14:paraId="0FDF0B88" w14:textId="77777777" w:rsidTr="00894E4C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BC2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E086" w14:textId="77777777" w:rsidR="00894E4C" w:rsidRPr="00894E4C" w:rsidRDefault="00894E4C" w:rsidP="00894E4C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AFD0"/>
            <w:vAlign w:val="center"/>
            <w:hideMark/>
          </w:tcPr>
          <w:p w14:paraId="61442F7F" w14:textId="77777777" w:rsidR="00894E4C" w:rsidRPr="00894E4C" w:rsidRDefault="00894E4C" w:rsidP="00894E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nemteljesítő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(defaulted)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kitettségek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bruttó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könyv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szerinti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értéke</w:t>
            </w:r>
            <w:proofErr w:type="spellEnd"/>
          </w:p>
        </w:tc>
      </w:tr>
      <w:tr w:rsidR="0037603E" w:rsidRPr="00894E4C" w14:paraId="214DDE9C" w14:textId="77777777" w:rsidTr="00E3590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2590" w14:textId="77777777" w:rsidR="0037603E" w:rsidRPr="00894E4C" w:rsidRDefault="0037603E" w:rsidP="0037603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FF841" w14:textId="77777777" w:rsidR="0037603E" w:rsidRPr="00894E4C" w:rsidRDefault="0037603E" w:rsidP="0037603E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>Nyitó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>egyenleg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3A1AA" w14:textId="1E65F2B6" w:rsidR="0037603E" w:rsidRPr="00894E4C" w:rsidRDefault="0037603E" w:rsidP="00D060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</w:pPr>
            <w:r w:rsidRPr="0083167C">
              <w:t>40 4</w:t>
            </w:r>
            <w:r w:rsidR="00D0608D">
              <w:t>70</w:t>
            </w:r>
          </w:p>
        </w:tc>
      </w:tr>
      <w:tr w:rsidR="0037603E" w:rsidRPr="00894E4C" w14:paraId="2EE67C9D" w14:textId="77777777" w:rsidTr="00E35907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D712" w14:textId="77777777" w:rsidR="0037603E" w:rsidRPr="00894E4C" w:rsidRDefault="0037603E" w:rsidP="0037603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4A38F" w14:textId="77777777" w:rsidR="0037603E" w:rsidRPr="00894E4C" w:rsidRDefault="0037603E" w:rsidP="0037603E">
            <w:pP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Az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utolsó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beszámolási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időszak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óta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nemteljesítővé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(defaulted)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vagy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értékvesztetté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vált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hitelek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és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hitelviszonyt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megtestesítő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értékpapírok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36C81" w14:textId="481CFE6B" w:rsidR="0037603E" w:rsidRPr="00894E4C" w:rsidRDefault="0037603E" w:rsidP="0037603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3167C">
              <w:t>16 307</w:t>
            </w:r>
          </w:p>
        </w:tc>
      </w:tr>
      <w:tr w:rsidR="0037603E" w:rsidRPr="00894E4C" w14:paraId="6008E8D7" w14:textId="77777777" w:rsidTr="00E3590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4E27" w14:textId="77777777" w:rsidR="0037603E" w:rsidRPr="00894E4C" w:rsidRDefault="0037603E" w:rsidP="0037603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E1412" w14:textId="77777777" w:rsidR="0037603E" w:rsidRPr="00894E4C" w:rsidRDefault="0037603E" w:rsidP="0037603E">
            <w:pP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Teljesítő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(non-defaulted)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státuszba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visszahelyezett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4D194" w14:textId="1B592198" w:rsidR="0037603E" w:rsidRPr="00894E4C" w:rsidRDefault="0037603E" w:rsidP="0037603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3167C">
              <w:t>6 265</w:t>
            </w:r>
          </w:p>
        </w:tc>
      </w:tr>
      <w:tr w:rsidR="0037603E" w:rsidRPr="00894E4C" w14:paraId="7A4A494E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96449" w14:textId="77777777" w:rsidR="0037603E" w:rsidRPr="00894E4C" w:rsidRDefault="0037603E" w:rsidP="0037603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918BD" w14:textId="77777777" w:rsidR="0037603E" w:rsidRPr="00894E4C" w:rsidRDefault="0037603E" w:rsidP="0037603E">
            <w:pP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Leírt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összegek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6EACC" w14:textId="456A8C13" w:rsidR="0037603E" w:rsidRPr="00894E4C" w:rsidRDefault="0037603E" w:rsidP="00D0608D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3167C">
              <w:t>14</w:t>
            </w:r>
            <w:r w:rsidR="00D0608D">
              <w:t>0</w:t>
            </w:r>
          </w:p>
        </w:tc>
      </w:tr>
      <w:tr w:rsidR="0037603E" w:rsidRPr="00894E4C" w14:paraId="2E3FDD8A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3431" w14:textId="77777777" w:rsidR="0037603E" w:rsidRPr="00894E4C" w:rsidRDefault="0037603E" w:rsidP="0037603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E0334" w14:textId="77777777" w:rsidR="0037603E" w:rsidRPr="00894E4C" w:rsidRDefault="0037603E" w:rsidP="0037603E">
            <w:pP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Egyéb</w:t>
            </w:r>
            <w:proofErr w:type="spellEnd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változások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DE611" w14:textId="238C9629" w:rsidR="0037603E" w:rsidRPr="00894E4C" w:rsidRDefault="0037603E" w:rsidP="00D0608D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3167C">
              <w:t>-4 4</w:t>
            </w:r>
            <w:r w:rsidR="00D0608D">
              <w:t>1</w:t>
            </w:r>
            <w:r w:rsidRPr="0083167C">
              <w:t>0</w:t>
            </w:r>
          </w:p>
        </w:tc>
      </w:tr>
      <w:tr w:rsidR="0037603E" w:rsidRPr="00894E4C" w14:paraId="3BBBBF44" w14:textId="77777777" w:rsidTr="00E359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B5EC" w14:textId="77777777" w:rsidR="0037603E" w:rsidRPr="00894E4C" w:rsidRDefault="0037603E" w:rsidP="0037603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894E4C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A00D1" w14:textId="77777777" w:rsidR="0037603E" w:rsidRPr="00894E4C" w:rsidRDefault="0037603E" w:rsidP="0037603E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</w:pP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>Záró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>egyenleg</w:t>
            </w:r>
            <w:proofErr w:type="spellEnd"/>
            <w:r w:rsidRPr="00894E4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 xml:space="preserve"> 6=(1+2-3-4+5)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E22DA" w14:textId="636973E4" w:rsidR="0037603E" w:rsidRPr="00894E4C" w:rsidRDefault="0037603E" w:rsidP="003760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</w:pPr>
            <w:r w:rsidRPr="0083167C">
              <w:t>45 962</w:t>
            </w:r>
          </w:p>
        </w:tc>
      </w:tr>
    </w:tbl>
    <w:p w14:paraId="2CA564C7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6017EE4C" w14:textId="77777777" w:rsidR="009A27A2" w:rsidRDefault="009A27A2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DB6D8BF" w14:textId="77777777" w:rsidR="00894E4C" w:rsidRDefault="00894E4C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AA606CE" w14:textId="77777777" w:rsidR="009A27A2" w:rsidRPr="00196F71" w:rsidRDefault="009A27A2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2" w:name="_Toc48209114"/>
      <w:r w:rsidRPr="00196F71">
        <w:rPr>
          <w:rFonts w:ascii="UniCredit" w:hAnsi="UniCredit"/>
          <w:b/>
          <w:sz w:val="20"/>
          <w:szCs w:val="20"/>
          <w:lang w:val="hu-HU"/>
        </w:rPr>
        <w:t xml:space="preserve">EU CR3 - A garanciák vagy </w:t>
      </w:r>
      <w:proofErr w:type="spellStart"/>
      <w:r w:rsidRPr="00196F71">
        <w:rPr>
          <w:rFonts w:ascii="UniCredit" w:hAnsi="UniCredit"/>
          <w:b/>
          <w:sz w:val="20"/>
          <w:szCs w:val="20"/>
          <w:lang w:val="hu-HU"/>
        </w:rPr>
        <w:t>hitelderivatívák</w:t>
      </w:r>
      <w:proofErr w:type="spellEnd"/>
      <w:r w:rsidRPr="00196F71">
        <w:rPr>
          <w:rFonts w:ascii="UniCredit" w:hAnsi="UniCredit"/>
          <w:b/>
          <w:sz w:val="20"/>
          <w:szCs w:val="20"/>
          <w:lang w:val="hu-HU"/>
        </w:rPr>
        <w:t xml:space="preserve"> által fedezett teljes kitettség</w:t>
      </w:r>
      <w:bookmarkEnd w:id="22"/>
    </w:p>
    <w:p w14:paraId="5E5FEA7F" w14:textId="77777777" w:rsidR="009A27A2" w:rsidRDefault="009A27A2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0B3E5ED" w14:textId="5F8FD93A" w:rsidR="00EB253A" w:rsidRDefault="00EB253A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0887C22" w14:textId="77777777" w:rsidR="00EB253A" w:rsidRDefault="00EB253A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F0EDF51" w14:textId="77777777" w:rsidR="009A27A2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2F4FA3">
        <w:rPr>
          <w:noProof/>
          <w:lang w:val="en-US"/>
        </w:rPr>
        <w:drawing>
          <wp:inline distT="0" distB="0" distL="0" distR="0" wp14:anchorId="7D78AFE5" wp14:editId="1A00E166">
            <wp:extent cx="5760085" cy="299668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24C0" w14:textId="77777777" w:rsidR="009A27A2" w:rsidRDefault="009A27A2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C80E38B" w14:textId="77777777" w:rsidR="0029130D" w:rsidRPr="00196F71" w:rsidRDefault="0029130D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3" w:name="_Toc48209115"/>
      <w:r w:rsidRPr="00196F71">
        <w:rPr>
          <w:rFonts w:ascii="UniCredit" w:hAnsi="UniCredit"/>
          <w:b/>
          <w:sz w:val="20"/>
          <w:szCs w:val="20"/>
          <w:lang w:val="hu-HU"/>
        </w:rPr>
        <w:t>EU CR4 – Sztenderd módszer – Hitelkockázati kitettség és a hitelkockázat-mérséklés hatásai (millió forintban)</w:t>
      </w:r>
      <w:bookmarkEnd w:id="23"/>
    </w:p>
    <w:p w14:paraId="07A626D6" w14:textId="77777777" w:rsidR="0029130D" w:rsidRDefault="0029130D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C2CA355" w14:textId="15F9C174" w:rsidR="0029130D" w:rsidRDefault="0029130D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782A136" w14:textId="77777777" w:rsidR="0029130D" w:rsidRDefault="0029130D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96F6A55" w14:textId="77777777" w:rsidR="002F4FA3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2F4FA3">
        <w:rPr>
          <w:noProof/>
          <w:lang w:val="en-US"/>
        </w:rPr>
        <w:drawing>
          <wp:inline distT="0" distB="0" distL="0" distR="0" wp14:anchorId="70397B5A" wp14:editId="683E1198">
            <wp:extent cx="5760085" cy="3010861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1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374A" w14:textId="77777777" w:rsidR="002F4FA3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408E7C0" w14:textId="77777777" w:rsidR="0029130D" w:rsidRPr="00196F71" w:rsidRDefault="00864A9D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4" w:name="_Toc48209116"/>
      <w:r w:rsidRPr="00196F71">
        <w:rPr>
          <w:rFonts w:ascii="UniCredit" w:hAnsi="UniCredit"/>
          <w:b/>
          <w:sz w:val="20"/>
          <w:szCs w:val="20"/>
          <w:lang w:val="hu-HU"/>
        </w:rPr>
        <w:t>EU CR5 – Sztenderd módszer</w:t>
      </w:r>
      <w:bookmarkEnd w:id="24"/>
    </w:p>
    <w:p w14:paraId="74AF90BB" w14:textId="77777777" w:rsidR="001C360B" w:rsidRDefault="001C360B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E5049ED" w14:textId="09A96245" w:rsidR="001C360B" w:rsidRDefault="001C360B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930C378" w14:textId="77777777" w:rsidR="00864A9D" w:rsidRDefault="00864A9D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EC7992E" w14:textId="77777777" w:rsidR="001667D8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2F4FA3">
        <w:rPr>
          <w:noProof/>
          <w:lang w:val="en-US"/>
        </w:rPr>
        <w:drawing>
          <wp:inline distT="0" distB="0" distL="0" distR="0" wp14:anchorId="629FCFEB" wp14:editId="27F864F5">
            <wp:extent cx="5760085" cy="173405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3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313B" w14:textId="77777777" w:rsidR="002F4FA3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8099521" w14:textId="77777777" w:rsidR="001667D8" w:rsidRDefault="001667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2AACDA8" w14:textId="77777777" w:rsidR="001667D8" w:rsidRDefault="001667D8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5" w:name="_Toc48209117"/>
      <w:r w:rsidRPr="00196F71">
        <w:rPr>
          <w:rFonts w:ascii="UniCredit" w:hAnsi="UniCredit"/>
          <w:b/>
          <w:sz w:val="20"/>
          <w:szCs w:val="20"/>
          <w:lang w:val="hu-HU"/>
        </w:rPr>
        <w:t>EU CR6 – IRB-módszer – Hitelkockázati kitettségek kitettségi osztályok és PD-sávok szerint</w:t>
      </w:r>
      <w:bookmarkEnd w:id="25"/>
    </w:p>
    <w:p w14:paraId="1DA0887D" w14:textId="77777777" w:rsidR="00EB253A" w:rsidRPr="00EB253A" w:rsidRDefault="00EB253A" w:rsidP="00EB253A">
      <w:pPr>
        <w:rPr>
          <w:lang w:val="hu-HU"/>
        </w:rPr>
      </w:pPr>
    </w:p>
    <w:p w14:paraId="32A0F0F6" w14:textId="513F5B40" w:rsidR="001667D8" w:rsidRDefault="001667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6348E721" w14:textId="77777777" w:rsidR="00EB253A" w:rsidRDefault="00EB253A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ED7CE0D" w14:textId="5720578C" w:rsidR="00E35907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2F4FA3">
        <w:rPr>
          <w:noProof/>
          <w:lang w:val="en-US"/>
        </w:rPr>
        <w:drawing>
          <wp:inline distT="0" distB="0" distL="0" distR="0" wp14:anchorId="7517A969" wp14:editId="27CB1CC7">
            <wp:extent cx="5760085" cy="26684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6A4F" w14:textId="77777777" w:rsidR="00E35907" w:rsidRDefault="00E35907">
      <w:pPr>
        <w:spacing w:after="200" w:line="276" w:lineRule="auto"/>
        <w:rPr>
          <w:rFonts w:ascii="Tahoma" w:eastAsia="Times New Roman" w:hAnsi="Tahoma" w:cs="Tahoma"/>
          <w:b/>
          <w:bCs/>
          <w:szCs w:val="20"/>
          <w:lang w:val="hu-HU"/>
        </w:rPr>
      </w:pPr>
      <w:r>
        <w:rPr>
          <w:rFonts w:ascii="Tahoma" w:eastAsia="Times New Roman" w:hAnsi="Tahoma" w:cs="Tahoma"/>
          <w:b/>
          <w:bCs/>
          <w:szCs w:val="20"/>
          <w:lang w:val="hu-HU"/>
        </w:rPr>
        <w:br w:type="page"/>
      </w:r>
    </w:p>
    <w:p w14:paraId="125161C4" w14:textId="77777777" w:rsidR="001667D8" w:rsidRDefault="001667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3808CC99" w14:textId="77777777" w:rsidR="002F4FA3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449DD76F" w14:textId="77777777" w:rsidR="00864A9D" w:rsidRPr="00196F71" w:rsidRDefault="00456261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6" w:name="_Toc48209118"/>
      <w:r w:rsidRPr="00196F71">
        <w:rPr>
          <w:rFonts w:ascii="UniCredit" w:hAnsi="UniCredit"/>
          <w:b/>
          <w:sz w:val="20"/>
          <w:szCs w:val="20"/>
          <w:lang w:val="hu-HU"/>
        </w:rPr>
        <w:t xml:space="preserve">EU CR7 – IRB-módszer – A CRM-technikaként alkalmazott </w:t>
      </w:r>
      <w:proofErr w:type="spellStart"/>
      <w:r w:rsidRPr="00196F71">
        <w:rPr>
          <w:rFonts w:ascii="UniCredit" w:hAnsi="UniCredit"/>
          <w:b/>
          <w:sz w:val="20"/>
          <w:szCs w:val="20"/>
          <w:lang w:val="hu-HU"/>
        </w:rPr>
        <w:t>hitelderivatívák</w:t>
      </w:r>
      <w:proofErr w:type="spellEnd"/>
      <w:r w:rsidRPr="00196F71">
        <w:rPr>
          <w:rFonts w:ascii="UniCredit" w:hAnsi="UniCredit"/>
          <w:b/>
          <w:sz w:val="20"/>
          <w:szCs w:val="20"/>
          <w:lang w:val="hu-HU"/>
        </w:rPr>
        <w:t xml:space="preserve"> RWA-</w:t>
      </w:r>
      <w:proofErr w:type="spellStart"/>
      <w:r w:rsidRPr="00196F71">
        <w:rPr>
          <w:rFonts w:ascii="UniCredit" w:hAnsi="UniCredit"/>
          <w:b/>
          <w:sz w:val="20"/>
          <w:szCs w:val="20"/>
          <w:lang w:val="hu-HU"/>
        </w:rPr>
        <w:t>kra</w:t>
      </w:r>
      <w:proofErr w:type="spellEnd"/>
      <w:r w:rsidRPr="00196F71">
        <w:rPr>
          <w:rFonts w:ascii="UniCredit" w:hAnsi="UniCredit"/>
          <w:b/>
          <w:sz w:val="20"/>
          <w:szCs w:val="20"/>
          <w:lang w:val="hu-HU"/>
        </w:rPr>
        <w:t xml:space="preserve"> gyakorolt hatása</w:t>
      </w:r>
      <w:bookmarkEnd w:id="26"/>
    </w:p>
    <w:p w14:paraId="765E8C98" w14:textId="77777777" w:rsidR="00456261" w:rsidRDefault="00456261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2444AA2B" w14:textId="3B67C9AC" w:rsidR="00456261" w:rsidRDefault="00456261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940EC57" w14:textId="77777777" w:rsidR="00EF26D8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2F4FA3">
        <w:rPr>
          <w:noProof/>
          <w:lang w:val="en-US"/>
        </w:rPr>
        <w:drawing>
          <wp:inline distT="0" distB="0" distL="0" distR="0" wp14:anchorId="0AEB21C1" wp14:editId="797AA640">
            <wp:extent cx="4443095" cy="45421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B2B3" w14:textId="77777777" w:rsidR="005E6907" w:rsidRDefault="005E6907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44F68DA" w14:textId="77777777" w:rsidR="002F4FA3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75763547" w14:textId="77777777" w:rsidR="005E6907" w:rsidRPr="00196F71" w:rsidRDefault="005E6907" w:rsidP="00196F7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  <w:lang w:val="hu-HU"/>
        </w:rPr>
      </w:pPr>
      <w:bookmarkStart w:id="27" w:name="_Toc48209119"/>
      <w:r w:rsidRPr="00196F71">
        <w:rPr>
          <w:rFonts w:ascii="UniCredit" w:hAnsi="UniCredit"/>
          <w:b/>
          <w:sz w:val="20"/>
          <w:szCs w:val="20"/>
          <w:lang w:val="hu-HU"/>
        </w:rPr>
        <w:t>EU CR8 - Az RWA-k változásai az IRB-módszer hatálya alá tartozó hitelkockázati kitettségek esetében</w:t>
      </w:r>
      <w:bookmarkEnd w:id="27"/>
      <w:r w:rsidRPr="00196F71">
        <w:rPr>
          <w:rFonts w:ascii="UniCredit" w:hAnsi="UniCredit"/>
          <w:b/>
          <w:sz w:val="20"/>
          <w:szCs w:val="20"/>
          <w:lang w:val="hu-HU"/>
        </w:rPr>
        <w:t xml:space="preserve"> </w:t>
      </w:r>
    </w:p>
    <w:p w14:paraId="52E6ECF0" w14:textId="77777777" w:rsidR="005E6907" w:rsidRPr="005E6907" w:rsidRDefault="005E6907" w:rsidP="005E6907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001C8EAE" w14:textId="77777777" w:rsidR="005E6907" w:rsidRDefault="005E6907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629A545E" w14:textId="77777777" w:rsidR="00EF26D8" w:rsidRDefault="00EF26D8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55A38BF7" w14:textId="77777777" w:rsidR="002F4FA3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  <w:r w:rsidRPr="002F4FA3">
        <w:rPr>
          <w:noProof/>
          <w:lang w:val="en-US"/>
        </w:rPr>
        <w:drawing>
          <wp:inline distT="0" distB="0" distL="0" distR="0" wp14:anchorId="7148EDD7" wp14:editId="15D95668">
            <wp:extent cx="5476240" cy="19875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6795" w14:textId="77777777" w:rsidR="002F4FA3" w:rsidRPr="00545D1A" w:rsidRDefault="002F4FA3" w:rsidP="00545D1A">
      <w:pPr>
        <w:rPr>
          <w:rFonts w:ascii="Tahoma" w:eastAsia="Times New Roman" w:hAnsi="Tahoma" w:cs="Tahoma"/>
          <w:b/>
          <w:bCs/>
          <w:szCs w:val="20"/>
          <w:lang w:val="hu-HU"/>
        </w:rPr>
      </w:pPr>
    </w:p>
    <w:p w14:paraId="14BBABB4" w14:textId="77777777" w:rsidR="008B7B74" w:rsidRDefault="008B7B74" w:rsidP="008B7B74">
      <w:pPr>
        <w:rPr>
          <w:lang w:val="hu-HU"/>
        </w:rPr>
      </w:pPr>
    </w:p>
    <w:p w14:paraId="337CDAC0" w14:textId="77777777" w:rsidR="00545D1A" w:rsidRDefault="00545D1A" w:rsidP="008B7B74">
      <w:pPr>
        <w:rPr>
          <w:lang w:val="hu-HU"/>
        </w:rPr>
      </w:pPr>
    </w:p>
    <w:p w14:paraId="57E0D9AE" w14:textId="77777777" w:rsidR="00AF31E6" w:rsidRDefault="00AF31E6" w:rsidP="008B7B74">
      <w:pPr>
        <w:rPr>
          <w:lang w:val="hu-HU"/>
        </w:rPr>
      </w:pPr>
    </w:p>
    <w:p w14:paraId="680BD18F" w14:textId="77777777" w:rsidR="00AF31E6" w:rsidRPr="00AF31E6" w:rsidRDefault="00AF31E6" w:rsidP="00AF31E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287343A0" w14:textId="77777777" w:rsidR="00AF31E6" w:rsidRPr="00E35907" w:rsidRDefault="00AF31E6" w:rsidP="00E35907">
      <w:pPr>
        <w:pStyle w:val="Heading1"/>
        <w:numPr>
          <w:ilvl w:val="0"/>
          <w:numId w:val="2"/>
        </w:numPr>
        <w:rPr>
          <w:rFonts w:ascii="UniCredit" w:hAnsi="UniCredit"/>
          <w:b/>
          <w:szCs w:val="20"/>
          <w:lang w:val="hu-HU"/>
        </w:rPr>
      </w:pPr>
      <w:bookmarkStart w:id="28" w:name="_Toc48209120"/>
      <w:r w:rsidRPr="00E35907">
        <w:rPr>
          <w:rFonts w:ascii="UniCredit" w:hAnsi="UniCredit"/>
          <w:b/>
          <w:sz w:val="20"/>
          <w:szCs w:val="20"/>
          <w:lang w:val="hu-HU"/>
        </w:rPr>
        <w:t>A COVID-19 válságra válaszul alkalmazott intézkedések hatálya alá tartozó kitettségekre vonatkozó nyilvánosságra hozatal</w:t>
      </w:r>
      <w:bookmarkEnd w:id="28"/>
    </w:p>
    <w:p w14:paraId="68F62172" w14:textId="77777777" w:rsidR="00AF31E6" w:rsidRDefault="00AF31E6" w:rsidP="008B7B74">
      <w:pPr>
        <w:rPr>
          <w:lang w:val="hu-HU"/>
        </w:rPr>
      </w:pPr>
    </w:p>
    <w:p w14:paraId="456E07D4" w14:textId="77777777" w:rsidR="00AF31E6" w:rsidRDefault="00AF31E6" w:rsidP="008B7B74">
      <w:pPr>
        <w:rPr>
          <w:lang w:val="hu-HU"/>
        </w:rPr>
      </w:pPr>
      <w:r w:rsidRPr="00AF31E6">
        <w:rPr>
          <w:lang w:val="hu-HU"/>
        </w:rPr>
        <w:t xml:space="preserve">Template 1: </w:t>
      </w:r>
      <w:r w:rsidR="00A6647C" w:rsidRPr="00A6647C">
        <w:rPr>
          <w:lang w:val="hu-HU"/>
        </w:rPr>
        <w:t>Az EBH-kompatibilis (jogszabályon alapuló és nem jogszabályon alapuló) moratóriumok áttekintése</w:t>
      </w:r>
    </w:p>
    <w:p w14:paraId="292F1BB2" w14:textId="77777777" w:rsidR="001073A4" w:rsidRDefault="001073A4" w:rsidP="008B7B74">
      <w:pPr>
        <w:rPr>
          <w:lang w:val="hu-HU"/>
        </w:rPr>
      </w:pPr>
    </w:p>
    <w:p w14:paraId="0F4640AD" w14:textId="77777777" w:rsidR="001073A4" w:rsidRDefault="001073A4" w:rsidP="008B7B74">
      <w:pPr>
        <w:rPr>
          <w:lang w:val="hu-HU"/>
        </w:rPr>
      </w:pPr>
      <w:r w:rsidRPr="001073A4">
        <w:rPr>
          <w:noProof/>
          <w:lang w:val="en-US"/>
        </w:rPr>
        <w:drawing>
          <wp:inline distT="0" distB="0" distL="0" distR="0" wp14:anchorId="4DD48CA7" wp14:editId="6E24B756">
            <wp:extent cx="5760085" cy="2792008"/>
            <wp:effectExtent l="0" t="0" r="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9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EB7E" w14:textId="77777777" w:rsidR="00AF31E6" w:rsidRDefault="00AF31E6" w:rsidP="008B7B74">
      <w:pPr>
        <w:rPr>
          <w:lang w:val="hu-HU"/>
        </w:rPr>
      </w:pPr>
    </w:p>
    <w:p w14:paraId="50F5EE8E" w14:textId="77777777" w:rsidR="001073A4" w:rsidRDefault="00AF31E6" w:rsidP="008B7B74">
      <w:pPr>
        <w:rPr>
          <w:lang w:val="hu-HU"/>
        </w:rPr>
      </w:pPr>
      <w:r w:rsidRPr="00AF31E6">
        <w:rPr>
          <w:lang w:val="hu-HU"/>
        </w:rPr>
        <w:t xml:space="preserve">Template 2: </w:t>
      </w:r>
      <w:r w:rsidR="00A6647C" w:rsidRPr="00A6647C">
        <w:rPr>
          <w:lang w:val="hu-HU"/>
        </w:rPr>
        <w:t>Az EBH-kompatibilis (jogszabályon alapuló és nem jogszabályon alapuló) moratóriumok hatálya alá tartozó hitelekre és előlegekre vonatkozó információk</w:t>
      </w:r>
    </w:p>
    <w:p w14:paraId="05CD96C1" w14:textId="77777777" w:rsidR="00A6647C" w:rsidRDefault="00A6647C" w:rsidP="008B7B74">
      <w:pPr>
        <w:rPr>
          <w:lang w:val="hu-HU"/>
        </w:rPr>
      </w:pPr>
    </w:p>
    <w:p w14:paraId="3B1D236F" w14:textId="77777777" w:rsidR="001073A4" w:rsidRDefault="001073A4" w:rsidP="008B7B74">
      <w:pPr>
        <w:rPr>
          <w:lang w:val="hu-HU"/>
        </w:rPr>
      </w:pPr>
      <w:r w:rsidRPr="001073A4">
        <w:rPr>
          <w:noProof/>
          <w:lang w:val="en-US"/>
        </w:rPr>
        <w:drawing>
          <wp:inline distT="0" distB="0" distL="0" distR="0" wp14:anchorId="119A41D3" wp14:editId="65DBFE90">
            <wp:extent cx="5760085" cy="2200482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0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3170" w14:textId="77777777" w:rsidR="00AF31E6" w:rsidRDefault="00AF31E6" w:rsidP="008B7B74">
      <w:pPr>
        <w:rPr>
          <w:lang w:val="hu-HU"/>
        </w:rPr>
      </w:pPr>
    </w:p>
    <w:p w14:paraId="77A10074" w14:textId="77777777" w:rsidR="00E35907" w:rsidRDefault="00E35907">
      <w:pPr>
        <w:spacing w:after="200" w:line="276" w:lineRule="auto"/>
        <w:rPr>
          <w:lang w:val="hu-HU"/>
        </w:rPr>
      </w:pPr>
      <w:r>
        <w:rPr>
          <w:lang w:val="hu-HU"/>
        </w:rPr>
        <w:br w:type="page"/>
      </w:r>
    </w:p>
    <w:p w14:paraId="5EA686E7" w14:textId="48FEF244" w:rsidR="00AF31E6" w:rsidRDefault="00AF31E6" w:rsidP="008B7B74">
      <w:pPr>
        <w:rPr>
          <w:lang w:val="hu-HU"/>
        </w:rPr>
      </w:pPr>
      <w:r w:rsidRPr="00AF31E6">
        <w:rPr>
          <w:lang w:val="hu-HU"/>
        </w:rPr>
        <w:lastRenderedPageBreak/>
        <w:t xml:space="preserve">Template 3: </w:t>
      </w:r>
      <w:r w:rsidR="00A6647C" w:rsidRPr="00A6647C">
        <w:rPr>
          <w:lang w:val="hu-HU"/>
        </w:rPr>
        <w:t>A Covid19-válsággal kapcsolatos állami kezességvállalási programok hatálya alá tartozó, újonnan keletkeztetett hitelekre és előlegekre vonatkozó információk</w:t>
      </w:r>
    </w:p>
    <w:p w14:paraId="3592375E" w14:textId="77777777" w:rsidR="00AF31E6" w:rsidRDefault="00AF31E6" w:rsidP="008B7B74">
      <w:pPr>
        <w:rPr>
          <w:lang w:val="hu-HU"/>
        </w:rPr>
      </w:pPr>
    </w:p>
    <w:p w14:paraId="4562D6C2" w14:textId="77777777" w:rsidR="001073A4" w:rsidRDefault="001073A4" w:rsidP="008B7B74">
      <w:pPr>
        <w:rPr>
          <w:lang w:val="hu-HU"/>
        </w:rPr>
      </w:pPr>
      <w:r w:rsidRPr="001073A4">
        <w:rPr>
          <w:noProof/>
          <w:lang w:val="en-US"/>
        </w:rPr>
        <w:drawing>
          <wp:inline distT="0" distB="0" distL="0" distR="0" wp14:anchorId="43C1BC05" wp14:editId="7A56E042">
            <wp:extent cx="5247640" cy="415480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A07F" w14:textId="77777777" w:rsidR="00AF31E6" w:rsidRPr="008B7B74" w:rsidRDefault="00AF31E6" w:rsidP="008B7B74">
      <w:pPr>
        <w:rPr>
          <w:lang w:val="hu-HU"/>
        </w:rPr>
      </w:pPr>
    </w:p>
    <w:sectPr w:rsidR="00AF31E6" w:rsidRPr="008B7B74" w:rsidSect="002C46AA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22A91" w14:textId="77777777" w:rsidR="0037603E" w:rsidRDefault="0037603E" w:rsidP="00890AFA">
      <w:r>
        <w:separator/>
      </w:r>
    </w:p>
  </w:endnote>
  <w:endnote w:type="continuationSeparator" w:id="0">
    <w:p w14:paraId="6AF496E7" w14:textId="77777777" w:rsidR="0037603E" w:rsidRDefault="0037603E" w:rsidP="0089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Credit">
    <w:panose1 w:val="02000506040000020004"/>
    <w:charset w:val="EE"/>
    <w:family w:val="auto"/>
    <w:pitch w:val="variable"/>
    <w:sig w:usb0="A000022F" w:usb1="5000A06A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8EE4" w14:textId="77777777" w:rsidR="00120C6A" w:rsidRDefault="00120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9FDA" w14:textId="77777777" w:rsidR="00120C6A" w:rsidRDefault="00120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B029D" w14:textId="77777777" w:rsidR="0037603E" w:rsidRPr="008952A4" w:rsidRDefault="0037603E" w:rsidP="002C46AA">
    <w:pPr>
      <w:pStyle w:val="Header"/>
      <w:rPr>
        <w:rFonts w:ascii="UniCredit" w:hAnsi="UniCredit"/>
      </w:rPr>
    </w:pPr>
    <w:r>
      <w:tab/>
    </w:r>
    <w:r>
      <w:tab/>
    </w:r>
  </w:p>
  <w:p w14:paraId="31A0316E" w14:textId="77777777" w:rsidR="0037603E" w:rsidRDefault="0037603E" w:rsidP="002C46AA"/>
  <w:p w14:paraId="69950E1E" w14:textId="77777777" w:rsidR="0037603E" w:rsidRDefault="0037603E" w:rsidP="002C46AA">
    <w:pPr>
      <w:pStyle w:val="Footer"/>
      <w:tabs>
        <w:tab w:val="clear" w:pos="4703"/>
        <w:tab w:val="clear" w:pos="9406"/>
        <w:tab w:val="left" w:pos="176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164B87D7" w14:textId="77777777" w:rsidR="0037603E" w:rsidRDefault="003760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969D" w14:textId="77777777" w:rsidR="0037603E" w:rsidRPr="00D52888" w:rsidRDefault="0037603E" w:rsidP="00D52888">
    <w:pPr>
      <w:pStyle w:val="Footer"/>
      <w:tabs>
        <w:tab w:val="clear" w:pos="4703"/>
        <w:tab w:val="clear" w:pos="9406"/>
        <w:tab w:val="right" w:pos="9071"/>
      </w:tabs>
      <w:rPr>
        <w:rFonts w:ascii="UniCredit" w:hAnsi="UniCredit"/>
        <w:szCs w:val="20"/>
        <w:lang w:val="hu-HU"/>
      </w:rPr>
    </w:pPr>
    <w:r w:rsidRPr="00D52888">
      <w:rPr>
        <w:rFonts w:ascii="UniCredit" w:hAnsi="UniCredit"/>
        <w:szCs w:val="20"/>
        <w:lang w:val="hu-HU"/>
      </w:rPr>
      <w:fldChar w:fldCharType="begin"/>
    </w:r>
    <w:r w:rsidRPr="00D52888">
      <w:rPr>
        <w:rFonts w:ascii="UniCredit" w:hAnsi="UniCredit"/>
        <w:szCs w:val="20"/>
        <w:lang w:val="hu-HU"/>
      </w:rPr>
      <w:instrText xml:space="preserve"> PAGE   \* MERGEFORMAT </w:instrText>
    </w:r>
    <w:r w:rsidRPr="00D52888">
      <w:rPr>
        <w:rFonts w:ascii="UniCredit" w:hAnsi="UniCredit"/>
        <w:szCs w:val="20"/>
        <w:lang w:val="hu-HU"/>
      </w:rPr>
      <w:fldChar w:fldCharType="separate"/>
    </w:r>
    <w:r w:rsidR="00120C6A">
      <w:rPr>
        <w:rFonts w:ascii="UniCredit" w:hAnsi="UniCredit"/>
        <w:noProof/>
        <w:szCs w:val="20"/>
        <w:lang w:val="hu-HU"/>
      </w:rPr>
      <w:t>4</w:t>
    </w:r>
    <w:r w:rsidRPr="00D52888">
      <w:rPr>
        <w:rFonts w:ascii="UniCredit" w:hAnsi="UniCredit"/>
        <w:noProof/>
        <w:szCs w:val="20"/>
        <w:lang w:val="hu-HU"/>
      </w:rPr>
      <w:fldChar w:fldCharType="end"/>
    </w:r>
    <w:r w:rsidRPr="00D52888">
      <w:rPr>
        <w:rFonts w:ascii="UniCredit" w:hAnsi="UniCredit"/>
        <w:noProof/>
        <w:szCs w:val="20"/>
        <w:lang w:val="hu-HU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323A" w14:textId="77777777" w:rsidR="0037603E" w:rsidRPr="00D52888" w:rsidRDefault="0037603E" w:rsidP="00D52888">
    <w:pPr>
      <w:pStyle w:val="Footer"/>
      <w:tabs>
        <w:tab w:val="clear" w:pos="4703"/>
        <w:tab w:val="clear" w:pos="9406"/>
        <w:tab w:val="right" w:pos="14004"/>
      </w:tabs>
      <w:rPr>
        <w:rFonts w:ascii="UniCredit" w:hAnsi="UniCredit"/>
      </w:rPr>
    </w:pPr>
    <w:r w:rsidRPr="00D52888">
      <w:rPr>
        <w:rFonts w:ascii="UniCredit" w:hAnsi="UniCredit"/>
      </w:rPr>
      <w:fldChar w:fldCharType="begin"/>
    </w:r>
    <w:r w:rsidRPr="00D52888">
      <w:rPr>
        <w:rFonts w:ascii="UniCredit" w:hAnsi="UniCredit"/>
      </w:rPr>
      <w:instrText xml:space="preserve"> PAGE   \* MERGEFORMAT </w:instrText>
    </w:r>
    <w:r w:rsidRPr="00D52888">
      <w:rPr>
        <w:rFonts w:ascii="UniCredit" w:hAnsi="UniCredit"/>
      </w:rPr>
      <w:fldChar w:fldCharType="separate"/>
    </w:r>
    <w:r w:rsidR="00120C6A">
      <w:rPr>
        <w:rFonts w:ascii="UniCredit" w:hAnsi="UniCredit"/>
        <w:noProof/>
      </w:rPr>
      <w:t>22</w:t>
    </w:r>
    <w:r w:rsidRPr="00D52888">
      <w:rPr>
        <w:rFonts w:ascii="UniCredit" w:hAnsi="UniCredit"/>
        <w:noProof/>
      </w:rPr>
      <w:fldChar w:fldCharType="end"/>
    </w:r>
    <w:r>
      <w:rPr>
        <w:rFonts w:ascii="UniCredit" w:hAnsi="UniCredit"/>
        <w:noProof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934F3" w14:textId="77777777" w:rsidR="0037603E" w:rsidRPr="008952A4" w:rsidRDefault="0037603E" w:rsidP="002C46AA">
    <w:pPr>
      <w:pStyle w:val="Header"/>
      <w:rPr>
        <w:rFonts w:ascii="UniCredit" w:hAnsi="UniCredit"/>
      </w:rPr>
    </w:pPr>
    <w:r>
      <w:tab/>
    </w:r>
    <w:r>
      <w:tab/>
    </w:r>
  </w:p>
  <w:p w14:paraId="72414350" w14:textId="77777777" w:rsidR="0037603E" w:rsidRDefault="0037603E" w:rsidP="002C46AA">
    <w:pPr>
      <w:tabs>
        <w:tab w:val="left" w:pos="7669"/>
      </w:tabs>
    </w:pPr>
    <w:r>
      <w:tab/>
    </w:r>
  </w:p>
  <w:p w14:paraId="4CC049C6" w14:textId="77777777" w:rsidR="0037603E" w:rsidRPr="00D52888" w:rsidRDefault="0037603E" w:rsidP="00D52888">
    <w:pPr>
      <w:pStyle w:val="Footer"/>
      <w:tabs>
        <w:tab w:val="clear" w:pos="4703"/>
        <w:tab w:val="clear" w:pos="9406"/>
        <w:tab w:val="right" w:pos="9071"/>
      </w:tabs>
      <w:rPr>
        <w:rFonts w:ascii="UniCredit" w:hAnsi="UniCredit"/>
      </w:rPr>
    </w:pPr>
    <w:r w:rsidRPr="00D52888">
      <w:rPr>
        <w:rFonts w:ascii="UniCredit" w:hAnsi="UniCredit"/>
      </w:rPr>
      <w:fldChar w:fldCharType="begin"/>
    </w:r>
    <w:r w:rsidRPr="00D52888">
      <w:rPr>
        <w:rFonts w:ascii="UniCredit" w:hAnsi="UniCredit"/>
      </w:rPr>
      <w:instrText xml:space="preserve"> PAGE   \* MERGEFORMAT </w:instrText>
    </w:r>
    <w:r w:rsidRPr="00D52888">
      <w:rPr>
        <w:rFonts w:ascii="UniCredit" w:hAnsi="UniCredit"/>
      </w:rPr>
      <w:fldChar w:fldCharType="separate"/>
    </w:r>
    <w:r w:rsidR="00120C6A">
      <w:rPr>
        <w:rFonts w:ascii="UniCredit" w:hAnsi="UniCredit"/>
        <w:noProof/>
      </w:rPr>
      <w:t>7</w:t>
    </w:r>
    <w:r w:rsidRPr="00D52888">
      <w:rPr>
        <w:rFonts w:ascii="UniCredit" w:hAnsi="UniCredit"/>
        <w:noProof/>
      </w:rPr>
      <w:fldChar w:fldCharType="end"/>
    </w:r>
    <w:r w:rsidRPr="00D52888">
      <w:rPr>
        <w:rFonts w:ascii="UniCredit" w:hAnsi="UniCredit"/>
        <w:noProof/>
      </w:rPr>
      <w:tab/>
    </w:r>
  </w:p>
  <w:p w14:paraId="07DB188F" w14:textId="77777777" w:rsidR="0037603E" w:rsidRDefault="00376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3903" w14:textId="77777777" w:rsidR="0037603E" w:rsidRDefault="0037603E" w:rsidP="00890AFA">
      <w:r>
        <w:separator/>
      </w:r>
    </w:p>
  </w:footnote>
  <w:footnote w:type="continuationSeparator" w:id="0">
    <w:p w14:paraId="59522919" w14:textId="77777777" w:rsidR="0037603E" w:rsidRDefault="0037603E" w:rsidP="0089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2CFA2" w14:textId="77777777" w:rsidR="00120C6A" w:rsidRDefault="00120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7051" w14:textId="77777777" w:rsidR="0037603E" w:rsidRDefault="0037603E">
    <w:pPr>
      <w:pStyle w:val="Header"/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732320" behindDoc="0" locked="0" layoutInCell="0" allowOverlap="1" wp14:anchorId="1916FED6" wp14:editId="223B084C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16" name="MSIPCMe7574c4580038853830aabba" descr="{&quot;HashCode&quot;:231462397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528EC" w14:textId="429E5BDE" w:rsidR="0037603E" w:rsidRPr="00120C6A" w:rsidRDefault="0037603E" w:rsidP="00120C6A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6FED6" id="_x0000_t202" coordsize="21600,21600" o:spt="202" path="m,l,21600r21600,l21600,xe">
              <v:stroke joinstyle="miter"/>
              <v:path gradientshapeok="t" o:connecttype="rect"/>
            </v:shapetype>
            <v:shape id="MSIPCMe7574c4580038853830aabba" o:spid="_x0000_s1026" type="#_x0000_t202" alt="{&quot;HashCode&quot;:231462397,&quot;Height&quot;:9999999.0,&quot;Width&quot;:9999999.0,&quot;Placement&quot;:&quot;Header&quot;,&quot;Index&quot;:&quot;Primary&quot;,&quot;Section&quot;:1,&quot;Top&quot;:0.0,&quot;Left&quot;:0.0}" style="position:absolute;margin-left:0;margin-top:0;width:612pt;height:34.6pt;z-index:25173232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" o:allowincell="f" filled="f" stroked="f" strokeweight=".5pt">
              <v:textbox inset=",0,,0">
                <w:txbxContent>
                  <w:p w14:paraId="2BB528EC" w14:textId="429E5BDE" w:rsidR="0037603E" w:rsidRPr="00120C6A" w:rsidRDefault="0037603E" w:rsidP="00120C6A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2E7">
      <w:rPr>
        <w:rFonts w:ascii="UniCredit" w:hAnsi="UniCredit"/>
        <w:noProof/>
        <w:lang w:val="en-US"/>
      </w:rPr>
      <w:drawing>
        <wp:inline distT="0" distB="0" distL="0" distR="0" wp14:anchorId="4DBA1A0F" wp14:editId="7786921B">
          <wp:extent cx="2047875" cy="447973"/>
          <wp:effectExtent l="0" t="0" r="0" b="0"/>
          <wp:docPr id="1" name="Picture 1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DCF1" w14:textId="77777777" w:rsidR="0037603E" w:rsidRDefault="0037603E">
    <w:pPr>
      <w:pStyle w:val="Header"/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733003" behindDoc="0" locked="0" layoutInCell="0" allowOverlap="1" wp14:anchorId="009FFBCA" wp14:editId="148B301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20" name="MSIPCM72fa4801bc2856072517620a" descr="{&quot;HashCode&quot;:231462397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5828B" w14:textId="50372339" w:rsidR="0037603E" w:rsidRPr="00120C6A" w:rsidRDefault="0037603E" w:rsidP="00120C6A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FFBCA" id="_x0000_t202" coordsize="21600,21600" o:spt="202" path="m,l,21600r21600,l21600,xe">
              <v:stroke joinstyle="miter"/>
              <v:path gradientshapeok="t" o:connecttype="rect"/>
            </v:shapetype>
            <v:shape id="MSIPCM72fa4801bc2856072517620a" o:spid="_x0000_s1027" type="#_x0000_t202" alt="{&quot;HashCode&quot;:231462397,&quot;Height&quot;:9999999.0,&quot;Width&quot;:9999999.0,&quot;Placement&quot;:&quot;Header&quot;,&quot;Index&quot;:&quot;FirstPage&quot;,&quot;Section&quot;:1,&quot;Top&quot;:0.0,&quot;Left&quot;:0.0}" style="position:absolute;margin-left:0;margin-top:0;width:612pt;height:34.6pt;z-index:251733003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" o:allowincell="f" filled="f" stroked="f" strokeweight=".5pt">
              <v:textbox inset=",0,,0">
                <w:txbxContent>
                  <w:p w14:paraId="0B05828B" w14:textId="50372339" w:rsidR="0037603E" w:rsidRPr="00120C6A" w:rsidRDefault="0037603E" w:rsidP="00120C6A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2E7">
      <w:rPr>
        <w:rFonts w:ascii="UniCredit" w:hAnsi="UniCredit"/>
        <w:noProof/>
        <w:lang w:val="en-US"/>
      </w:rPr>
      <w:drawing>
        <wp:inline distT="0" distB="0" distL="0" distR="0" wp14:anchorId="3AC1265F" wp14:editId="1EE9D016">
          <wp:extent cx="2047875" cy="447973"/>
          <wp:effectExtent l="0" t="0" r="0" b="0"/>
          <wp:docPr id="4" name="Picture 4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99A4" w14:textId="77777777" w:rsidR="0037603E" w:rsidRPr="008952A4" w:rsidRDefault="0037603E">
    <w:pPr>
      <w:pStyle w:val="Header"/>
      <w:rPr>
        <w:rFonts w:ascii="UniCredit" w:hAnsi="UniCredit"/>
      </w:rPr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735735" behindDoc="0" locked="0" layoutInCell="0" allowOverlap="1" wp14:anchorId="0AE09564" wp14:editId="64CFD60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21" name="MSIPCMd39a43a8a0689b19c0fc33ef" descr="{&quot;HashCode&quot;:231462397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82756" w14:textId="6E4F17CC" w:rsidR="0037603E" w:rsidRPr="00120C6A" w:rsidRDefault="0037603E" w:rsidP="00120C6A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09564" id="_x0000_t202" coordsize="21600,21600" o:spt="202" path="m,l,21600r21600,l21600,xe">
              <v:stroke joinstyle="miter"/>
              <v:path gradientshapeok="t" o:connecttype="rect"/>
            </v:shapetype>
            <v:shape id="MSIPCMd39a43a8a0689b19c0fc33ef" o:spid="_x0000_s1028" type="#_x0000_t202" alt="{&quot;HashCode&quot;:231462397,&quot;Height&quot;:9999999.0,&quot;Width&quot;:9999999.0,&quot;Placement&quot;:&quot;Header&quot;,&quot;Index&quot;:&quot;Primary&quot;,&quot;Section&quot;:2,&quot;Top&quot;:0.0,&quot;Left&quot;:0.0}" style="position:absolute;margin-left:0;margin-top:0;width:612pt;height:34.6pt;z-index:25173573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" o:allowincell="f" filled="f" stroked="f" strokeweight=".5pt">
              <v:textbox inset=",0,,0">
                <w:txbxContent>
                  <w:p w14:paraId="28C82756" w14:textId="6E4F17CC" w:rsidR="0037603E" w:rsidRPr="00120C6A" w:rsidRDefault="0037603E" w:rsidP="00120C6A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2E7">
      <w:rPr>
        <w:rFonts w:ascii="UniCredit" w:hAnsi="UniCredit"/>
        <w:noProof/>
        <w:lang w:val="en-US"/>
      </w:rPr>
      <w:drawing>
        <wp:inline distT="0" distB="0" distL="0" distR="0" wp14:anchorId="14537775" wp14:editId="611A88F6">
          <wp:extent cx="2047875" cy="447973"/>
          <wp:effectExtent l="0" t="0" r="0" b="0"/>
          <wp:docPr id="13" name="Picture 13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2DC72" w14:textId="77777777" w:rsidR="0037603E" w:rsidRDefault="0037603E">
    <w:pPr>
      <w:pStyle w:val="Header"/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736759" behindDoc="0" locked="0" layoutInCell="0" allowOverlap="1" wp14:anchorId="52052DD1" wp14:editId="2BBB8CB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22" name="MSIPCMb562481b9eb5822ad860f1cc" descr="{&quot;HashCode&quot;:231462397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6F284" w14:textId="6B50E1FF" w:rsidR="0037603E" w:rsidRPr="00120C6A" w:rsidRDefault="0037603E" w:rsidP="00120C6A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52DD1" id="_x0000_t202" coordsize="21600,21600" o:spt="202" path="m,l,21600r21600,l21600,xe">
              <v:stroke joinstyle="miter"/>
              <v:path gradientshapeok="t" o:connecttype="rect"/>
            </v:shapetype>
            <v:shape id="MSIPCMb562481b9eb5822ad860f1cc" o:spid="_x0000_s1029" type="#_x0000_t202" alt="{&quot;HashCode&quot;:231462397,&quot;Height&quot;:9999999.0,&quot;Width&quot;:9999999.0,&quot;Placement&quot;:&quot;Header&quot;,&quot;Index&quot;:&quot;Primary&quot;,&quot;Section&quot;:3,&quot;Top&quot;:0.0,&quot;Left&quot;:0.0}" style="position:absolute;margin-left:0;margin-top:0;width:612pt;height:34.6pt;z-index:251736759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" o:allowincell="f" filled="f" stroked="f" strokeweight=".5pt">
              <v:textbox inset=",0,,0">
                <w:txbxContent>
                  <w:p w14:paraId="23F6F284" w14:textId="6B50E1FF" w:rsidR="0037603E" w:rsidRPr="00120C6A" w:rsidRDefault="0037603E" w:rsidP="00120C6A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2E7">
      <w:rPr>
        <w:rFonts w:ascii="UniCredit" w:hAnsi="UniCredit"/>
        <w:noProof/>
        <w:lang w:val="en-US"/>
      </w:rPr>
      <w:drawing>
        <wp:inline distT="0" distB="0" distL="0" distR="0" wp14:anchorId="5511D72A" wp14:editId="2878572D">
          <wp:extent cx="2047875" cy="447973"/>
          <wp:effectExtent l="0" t="0" r="0" b="0"/>
          <wp:docPr id="15" name="Picture 15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FDF26" w14:textId="77777777" w:rsidR="0037603E" w:rsidRPr="008952A4" w:rsidRDefault="0037603E">
    <w:pPr>
      <w:pStyle w:val="Header"/>
      <w:rPr>
        <w:rFonts w:ascii="UniCredit" w:hAnsi="UniCred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7ED7"/>
    <w:multiLevelType w:val="hybridMultilevel"/>
    <w:tmpl w:val="84F07F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0EEB"/>
    <w:multiLevelType w:val="hybridMultilevel"/>
    <w:tmpl w:val="960E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164E"/>
    <w:multiLevelType w:val="hybridMultilevel"/>
    <w:tmpl w:val="960E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7F14"/>
    <w:multiLevelType w:val="hybridMultilevel"/>
    <w:tmpl w:val="960E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9"/>
    <w:rsid w:val="00002BE0"/>
    <w:rsid w:val="00021D6F"/>
    <w:rsid w:val="000370BA"/>
    <w:rsid w:val="000713CE"/>
    <w:rsid w:val="00074840"/>
    <w:rsid w:val="0008227D"/>
    <w:rsid w:val="00095BA7"/>
    <w:rsid w:val="000C2A10"/>
    <w:rsid w:val="000C79CC"/>
    <w:rsid w:val="000D5543"/>
    <w:rsid w:val="000F55EC"/>
    <w:rsid w:val="00107145"/>
    <w:rsid w:val="001073A4"/>
    <w:rsid w:val="001131E1"/>
    <w:rsid w:val="00113C8B"/>
    <w:rsid w:val="00114B1B"/>
    <w:rsid w:val="00120C6A"/>
    <w:rsid w:val="001522E9"/>
    <w:rsid w:val="001667D8"/>
    <w:rsid w:val="001841DE"/>
    <w:rsid w:val="00196F71"/>
    <w:rsid w:val="00197399"/>
    <w:rsid w:val="001C360B"/>
    <w:rsid w:val="001E5ACE"/>
    <w:rsid w:val="00263DF1"/>
    <w:rsid w:val="00272BDE"/>
    <w:rsid w:val="0029130D"/>
    <w:rsid w:val="0029346F"/>
    <w:rsid w:val="002B0F22"/>
    <w:rsid w:val="002B4E29"/>
    <w:rsid w:val="002C3565"/>
    <w:rsid w:val="002C46AA"/>
    <w:rsid w:val="002E3532"/>
    <w:rsid w:val="002F4FA3"/>
    <w:rsid w:val="003742E7"/>
    <w:rsid w:val="0037603E"/>
    <w:rsid w:val="00390E69"/>
    <w:rsid w:val="00396DCE"/>
    <w:rsid w:val="003B11C9"/>
    <w:rsid w:val="003C748A"/>
    <w:rsid w:val="003E080B"/>
    <w:rsid w:val="003E0CA2"/>
    <w:rsid w:val="00414142"/>
    <w:rsid w:val="0045238F"/>
    <w:rsid w:val="00456261"/>
    <w:rsid w:val="00473062"/>
    <w:rsid w:val="00476D2E"/>
    <w:rsid w:val="004B4B7C"/>
    <w:rsid w:val="00515297"/>
    <w:rsid w:val="00545D1A"/>
    <w:rsid w:val="00547C1E"/>
    <w:rsid w:val="00564923"/>
    <w:rsid w:val="00582139"/>
    <w:rsid w:val="005B28BF"/>
    <w:rsid w:val="005B6068"/>
    <w:rsid w:val="005E6907"/>
    <w:rsid w:val="005F3449"/>
    <w:rsid w:val="00612425"/>
    <w:rsid w:val="00614F36"/>
    <w:rsid w:val="006176D8"/>
    <w:rsid w:val="00640FB2"/>
    <w:rsid w:val="0065242F"/>
    <w:rsid w:val="006C07E1"/>
    <w:rsid w:val="006C27BE"/>
    <w:rsid w:val="006D11B6"/>
    <w:rsid w:val="006D4C57"/>
    <w:rsid w:val="00707975"/>
    <w:rsid w:val="0076509E"/>
    <w:rsid w:val="007773F2"/>
    <w:rsid w:val="007B1BE4"/>
    <w:rsid w:val="007B2E68"/>
    <w:rsid w:val="007F798F"/>
    <w:rsid w:val="00800B17"/>
    <w:rsid w:val="00815617"/>
    <w:rsid w:val="00864A9D"/>
    <w:rsid w:val="00882A1B"/>
    <w:rsid w:val="00890AFA"/>
    <w:rsid w:val="00894E4C"/>
    <w:rsid w:val="008952A4"/>
    <w:rsid w:val="008A6636"/>
    <w:rsid w:val="008B4AC8"/>
    <w:rsid w:val="008B7B74"/>
    <w:rsid w:val="008C70AE"/>
    <w:rsid w:val="008D6913"/>
    <w:rsid w:val="009154AD"/>
    <w:rsid w:val="0094273E"/>
    <w:rsid w:val="009A27A2"/>
    <w:rsid w:val="00A26F25"/>
    <w:rsid w:val="00A313F4"/>
    <w:rsid w:val="00A32993"/>
    <w:rsid w:val="00A338F9"/>
    <w:rsid w:val="00A6647C"/>
    <w:rsid w:val="00A973A4"/>
    <w:rsid w:val="00AA65C9"/>
    <w:rsid w:val="00AC1478"/>
    <w:rsid w:val="00AF31E6"/>
    <w:rsid w:val="00AF41A5"/>
    <w:rsid w:val="00B201A9"/>
    <w:rsid w:val="00B2220E"/>
    <w:rsid w:val="00B7016C"/>
    <w:rsid w:val="00BA21EF"/>
    <w:rsid w:val="00BB63C7"/>
    <w:rsid w:val="00BB7E95"/>
    <w:rsid w:val="00C11B4C"/>
    <w:rsid w:val="00C24792"/>
    <w:rsid w:val="00C3050E"/>
    <w:rsid w:val="00C36C77"/>
    <w:rsid w:val="00C55CA3"/>
    <w:rsid w:val="00C65CF9"/>
    <w:rsid w:val="00C739D1"/>
    <w:rsid w:val="00C74426"/>
    <w:rsid w:val="00C95FE4"/>
    <w:rsid w:val="00CB151B"/>
    <w:rsid w:val="00CE54F4"/>
    <w:rsid w:val="00D0314F"/>
    <w:rsid w:val="00D0608D"/>
    <w:rsid w:val="00D41166"/>
    <w:rsid w:val="00D52888"/>
    <w:rsid w:val="00D80916"/>
    <w:rsid w:val="00D96778"/>
    <w:rsid w:val="00DE227C"/>
    <w:rsid w:val="00DF3984"/>
    <w:rsid w:val="00E35907"/>
    <w:rsid w:val="00E5726D"/>
    <w:rsid w:val="00E63A59"/>
    <w:rsid w:val="00E669BA"/>
    <w:rsid w:val="00E92A2C"/>
    <w:rsid w:val="00E9528B"/>
    <w:rsid w:val="00EB078B"/>
    <w:rsid w:val="00EB253A"/>
    <w:rsid w:val="00ED7FC8"/>
    <w:rsid w:val="00EF26D8"/>
    <w:rsid w:val="00F1493A"/>
    <w:rsid w:val="00F151F3"/>
    <w:rsid w:val="00F46598"/>
    <w:rsid w:val="00F638F4"/>
    <w:rsid w:val="00FB4435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45DBD80"/>
  <w15:chartTrackingRefBased/>
  <w15:docId w15:val="{CE59AE1A-1ED3-47A1-92EE-6BAA355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532"/>
    <w:rPr>
      <w:b/>
      <w:iCs/>
    </w:rPr>
  </w:style>
  <w:style w:type="paragraph" w:styleId="NoSpacing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0A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FA"/>
    <w:rPr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90A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FA"/>
    <w:rPr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B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1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1C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C9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C9"/>
    <w:rPr>
      <w:rFonts w:ascii="Segoe UI" w:hAnsi="Segoe UI" w:cs="Segoe UI"/>
      <w:sz w:val="18"/>
      <w:szCs w:val="18"/>
      <w:lang w:val="de-DE"/>
    </w:rPr>
  </w:style>
  <w:style w:type="paragraph" w:customStyle="1" w:styleId="Default">
    <w:name w:val="Default"/>
    <w:rsid w:val="00515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2E7"/>
    <w:rPr>
      <w:rFonts w:ascii="Arial" w:eastAsia="Calibri" w:hAnsi="Arial" w:cs="Times New Roman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2E7"/>
    <w:rPr>
      <w:rFonts w:ascii="Arial" w:eastAsia="Calibri" w:hAnsi="Arial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unhideWhenUsed/>
    <w:rsid w:val="003742E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46AA"/>
    <w:pPr>
      <w:spacing w:before="240" w:line="259" w:lineRule="auto"/>
      <w:outlineLvl w:val="9"/>
    </w:pPr>
    <w:rPr>
      <w:rFonts w:asciiTheme="majorHAnsi" w:hAnsiTheme="majorHAnsi"/>
      <w:bCs w:val="0"/>
      <w:color w:val="00829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6068"/>
    <w:pPr>
      <w:tabs>
        <w:tab w:val="left" w:pos="440"/>
        <w:tab w:val="right" w:leader="dot" w:pos="9061"/>
      </w:tabs>
      <w:spacing w:after="100"/>
    </w:pPr>
    <w:rPr>
      <w:rFonts w:ascii="UniCredit" w:hAnsi="UniCredit"/>
      <w:b/>
      <w:noProof/>
      <w:lang w:val="hu-HU"/>
    </w:rPr>
  </w:style>
  <w:style w:type="character" w:styleId="Hyperlink">
    <w:name w:val="Hyperlink"/>
    <w:basedOn w:val="DefaultParagraphFont"/>
    <w:uiPriority w:val="99"/>
    <w:unhideWhenUsed/>
    <w:rsid w:val="002C46AA"/>
    <w:rPr>
      <w:color w:val="3B8BCA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emf"/><Relationship Id="rId26" Type="http://schemas.openxmlformats.org/officeDocument/2006/relationships/image" Target="media/image9.emf"/><Relationship Id="rId39" Type="http://schemas.openxmlformats.org/officeDocument/2006/relationships/image" Target="media/image22.emf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7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image" Target="media/image20.emf"/><Relationship Id="rId40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9.emf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352A-CC31-45B3-91FB-6F200AA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Temesi Dániel (UniCredit Bank - H - UniCredit Group)</dc:creator>
  <cp:keywords/>
  <dc:description/>
  <cp:lastModifiedBy>Ibrikszné Koczmann Zsuzsa (UniCredit Bank - H - UniCredit Group)</cp:lastModifiedBy>
  <cp:revision>2</cp:revision>
  <cp:lastPrinted>2019-01-04T15:07:00Z</cp:lastPrinted>
  <dcterms:created xsi:type="dcterms:W3CDTF">2020-12-21T13:02:00Z</dcterms:created>
  <dcterms:modified xsi:type="dcterms:W3CDTF">2020-12-21T13:02:00Z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Zsuzsa.Ibrikszne.Koczmann@unicreditgroup.hu</vt:lpwstr>
  </property>
  <property fmtid="{D5CDD505-2E9C-101B-9397-08002B2CF9AE}" pid="5" name="MSIP_Label_390254f4-34d0-49c5-b888-af4abf762ef7_SetDate">
    <vt:lpwstr>2019-12-18T10:18:16.0492411Z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fc4caacf-aa33-4455-873d-7d6cf048d51a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cb373cdd-f50f-47ce-92ea-b8bd41a42dc4_Enabled">
    <vt:lpwstr>True</vt:lpwstr>
  </property>
  <property fmtid="{D5CDD505-2E9C-101B-9397-08002B2CF9AE}" pid="11" name="MSIP_Label_cb373cdd-f50f-47ce-92ea-b8bd41a42dc4_SiteId">
    <vt:lpwstr>2cc49ce9-66a1-41ac-a96b-bdc54247696a</vt:lpwstr>
  </property>
  <property fmtid="{D5CDD505-2E9C-101B-9397-08002B2CF9AE}" pid="12" name="MSIP_Label_cb373cdd-f50f-47ce-92ea-b8bd41a42dc4_SetDate">
    <vt:lpwstr>2019-12-18T10:18:16.0492411Z</vt:lpwstr>
  </property>
  <property fmtid="{D5CDD505-2E9C-101B-9397-08002B2CF9AE}" pid="13" name="MSIP_Label_cb373cdd-f50f-47ce-92ea-b8bd41a42dc4_Name">
    <vt:lpwstr>in UniCredit Group</vt:lpwstr>
  </property>
  <property fmtid="{D5CDD505-2E9C-101B-9397-08002B2CF9AE}" pid="14" name="MSIP_Label_cb373cdd-f50f-47ce-92ea-b8bd41a42dc4_ActionId">
    <vt:lpwstr>fc4caacf-aa33-4455-873d-7d6cf048d51a</vt:lpwstr>
  </property>
  <property fmtid="{D5CDD505-2E9C-101B-9397-08002B2CF9AE}" pid="15" name="MSIP_Label_cb373cdd-f50f-47ce-92ea-b8bd41a42dc4_Extended_MSFT_Method">
    <vt:lpwstr>Automatic</vt:lpwstr>
  </property>
  <property fmtid="{D5CDD505-2E9C-101B-9397-08002B2CF9AE}" pid="16" name="Sensitivity">
    <vt:lpwstr>Internal Use Only in UniCredit Group</vt:lpwstr>
  </property>
</Properties>
</file>